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rPr>
          <w:rFonts w:hint="eastAsia" w:eastAsiaTheme="minorEastAsia"/>
          <w:b/>
          <w:bCs/>
          <w:color w:val="auto"/>
          <w:lang w:val="en-US" w:eastAsia="zh-CN"/>
        </w:rPr>
      </w:pPr>
    </w:p>
    <w:tbl>
      <w:tblPr>
        <w:tblStyle w:val="6"/>
        <w:tblpPr w:leftFromText="180" w:rightFromText="180" w:vertAnchor="text" w:tblpX="-340" w:tblpY="1558"/>
        <w:tblOverlap w:val="never"/>
        <w:tblW w:w="98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672"/>
        <w:gridCol w:w="624"/>
        <w:gridCol w:w="1200"/>
        <w:gridCol w:w="1716"/>
        <w:gridCol w:w="2109"/>
        <w:gridCol w:w="2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8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i w:val="0"/>
                <w:iCs w:val="0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  <w:t>作业证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tcBorders>
              <w:top w:val="nil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申请人</w:t>
            </w:r>
          </w:p>
        </w:tc>
        <w:tc>
          <w:tcPr>
            <w:tcW w:w="2916" w:type="dxa"/>
            <w:gridSpan w:val="2"/>
            <w:tcBorders>
              <w:top w:val="nil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applyUserName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09" w:type="dxa"/>
            <w:tcBorders>
              <w:top w:val="nil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申请单位</w:t>
            </w:r>
          </w:p>
        </w:tc>
        <w:tc>
          <w:tcPr>
            <w:tcW w:w="2631" w:type="dxa"/>
            <w:tcBorders>
              <w:top w:val="nil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applyDepartName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作业证编号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code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状态</w:t>
            </w:r>
          </w:p>
        </w:tc>
        <w:tc>
          <w:tcPr>
            <w:tcW w:w="2631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stateName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作业单位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workLevelName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作业区域</w:t>
            </w:r>
          </w:p>
        </w:tc>
        <w:tc>
          <w:tcPr>
            <w:tcW w:w="2631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locationCoords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断路开始时间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startTime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断路结束时间</w:t>
            </w:r>
          </w:p>
        </w:tc>
        <w:tc>
          <w:tcPr>
            <w:tcW w:w="2631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endTime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所属风险区域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riskDistrictName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断路原因</w:t>
            </w:r>
          </w:p>
        </w:tc>
        <w:tc>
          <w:tcPr>
            <w:tcW w:w="2631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opFireContent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风险点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监护人</w:t>
            </w:r>
          </w:p>
        </w:tc>
        <w:tc>
          <w:tcPr>
            <w:tcW w:w="2631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opFireUserName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实施安全教育人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作业风险评估</w:t>
            </w:r>
          </w:p>
        </w:tc>
        <w:tc>
          <w:tcPr>
            <w:tcW w:w="2631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riskLevelName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附件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attachment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内容附件</w:t>
            </w:r>
          </w:p>
        </w:tc>
        <w:tc>
          <w:tcPr>
            <w:tcW w:w="2631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neirongfujian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危害辨识</w:t>
            </w:r>
          </w:p>
        </w:tc>
        <w:tc>
          <w:tcPr>
            <w:tcW w:w="7656" w:type="dxa"/>
            <w:gridSpan w:val="4"/>
            <w:tcBorders>
              <w:bottom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dangerRecoganize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断路地段示意图及相关说明</w:t>
            </w:r>
          </w:p>
        </w:tc>
        <w:tc>
          <w:tcPr>
            <w:tcW w:w="7656" w:type="dxa"/>
            <w:gridSpan w:val="4"/>
            <w:tcBorders>
              <w:bottom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fanwi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tcBorders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是否需要电子申请单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needEletricityApplySheet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工具名称</w:t>
            </w:r>
          </w:p>
        </w:tc>
        <w:tc>
          <w:tcPr>
            <w:tcW w:w="2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workToolName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序号                                       </w:t>
            </w:r>
            <w:r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  <w:t xml:space="preserve">               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动火人员 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身份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  <w:tc>
          <w:tcPr>
            <w:tcW w:w="2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所属单位 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  <w:tc>
          <w:tcPr>
            <w:tcW w:w="2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>证书名称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 xml:space="preserve">{{$fe: m  t.id 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opUserName</w:t>
            </w:r>
          </w:p>
        </w:tc>
        <w:tc>
          <w:tcPr>
            <w:tcW w:w="171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userType</w:t>
            </w:r>
          </w:p>
        </w:tc>
        <w:tc>
          <w:tcPr>
            <w:tcW w:w="21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008000"/>
                <w:sz w:val="18"/>
                <w:szCs w:val="18"/>
                <w:shd w:val="clear" w:fill="FFFFFF"/>
              </w:rPr>
              <w:t>departName</w:t>
            </w:r>
          </w:p>
        </w:tc>
        <w:tc>
          <w:tcPr>
            <w:tcW w:w="263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certName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6321" w:type="dxa"/>
            <w:gridSpan w:val="5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  <w:t>安全措施</w:t>
            </w:r>
          </w:p>
        </w:tc>
        <w:tc>
          <w:tcPr>
            <w:tcW w:w="2631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  <w:t>确认人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6321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动火设备内部构件清理干净,蒸汽吹扫或水洗合格,达到用火条件</w:t>
            </w:r>
          </w:p>
        </w:tc>
        <w:tc>
          <w:tcPr>
            <w:tcW w:w="2631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6321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断开与动火设备相连接的所有管线, 加盲板()块</w:t>
            </w:r>
          </w:p>
        </w:tc>
        <w:tc>
          <w:tcPr>
            <w:tcW w:w="2631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6321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动火点周围的下水井、地漏、地沟、电缆沟等已清除易燃物, 并已采取覆盖、铺沙、水封等手段进行隔离</w:t>
            </w:r>
          </w:p>
        </w:tc>
        <w:tc>
          <w:tcPr>
            <w:tcW w:w="2631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6321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罐区内动火点同一围堰和防火间距内的油罐不同时进行脱水作业</w:t>
            </w:r>
          </w:p>
        </w:tc>
        <w:tc>
          <w:tcPr>
            <w:tcW w:w="2631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6321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高处作业已采取防火花飞溅措施</w:t>
            </w:r>
          </w:p>
        </w:tc>
        <w:tc>
          <w:tcPr>
            <w:tcW w:w="2631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6321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</w:rPr>
              <w:t>高处作业已采取防火花飞溅措施</w:t>
            </w:r>
          </w:p>
        </w:tc>
        <w:tc>
          <w:tcPr>
            <w:tcW w:w="2631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6321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电焊回路线已接在焊件上,把线未穿过下水井或其他设备搭接</w:t>
            </w:r>
          </w:p>
        </w:tc>
        <w:tc>
          <w:tcPr>
            <w:tcW w:w="2631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6321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乙炔气瓶(直立放置)、氧气瓶与火源间的距离大于10m</w:t>
            </w:r>
          </w:p>
        </w:tc>
        <w:tc>
          <w:tcPr>
            <w:tcW w:w="2631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6321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现场配备消防蒸汽带( )根,灭火器( )台,铁锹( )把,石棉布( )块</w:t>
            </w:r>
          </w:p>
        </w:tc>
        <w:tc>
          <w:tcPr>
            <w:tcW w:w="2631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6321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其它安全措施：</w:t>
            </w:r>
          </w:p>
        </w:tc>
        <w:tc>
          <w:tcPr>
            <w:tcW w:w="2631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804" w:type="dxa"/>
            <w:gridSpan w:val="7"/>
            <w:tcBorders>
              <w:bottom w:val="nil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4"/>
                <w:vertAlign w:val="baseline"/>
                <w:lang w:val="en-US" w:eastAsia="zh-CN" w:bidi="ar-SA"/>
              </w:rPr>
              <w:t>编制人：{{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editUserName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4"/>
                <w:vertAlign w:val="baseline"/>
                <w:lang w:val="en-US" w:eastAsia="zh-CN" w:bidi="ar-SA"/>
              </w:rPr>
              <w:t>}}</w:t>
            </w:r>
          </w:p>
        </w:tc>
      </w:tr>
    </w:tbl>
    <w:p>
      <w:pPr>
        <w:bidi w:val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4023D"/>
    <w:rsid w:val="013F388F"/>
    <w:rsid w:val="025B6E87"/>
    <w:rsid w:val="03254F58"/>
    <w:rsid w:val="0327594C"/>
    <w:rsid w:val="0337123D"/>
    <w:rsid w:val="03801D3D"/>
    <w:rsid w:val="046143D2"/>
    <w:rsid w:val="04615AE4"/>
    <w:rsid w:val="04AB3E71"/>
    <w:rsid w:val="04B345DF"/>
    <w:rsid w:val="04E200F0"/>
    <w:rsid w:val="052A716B"/>
    <w:rsid w:val="056133EE"/>
    <w:rsid w:val="061040B2"/>
    <w:rsid w:val="06183F12"/>
    <w:rsid w:val="0666361A"/>
    <w:rsid w:val="06C000C7"/>
    <w:rsid w:val="06FF2591"/>
    <w:rsid w:val="071A432C"/>
    <w:rsid w:val="0A19772B"/>
    <w:rsid w:val="0A330682"/>
    <w:rsid w:val="0A473CF5"/>
    <w:rsid w:val="0AE1004A"/>
    <w:rsid w:val="0B6D416F"/>
    <w:rsid w:val="0C4B2D6C"/>
    <w:rsid w:val="0C555589"/>
    <w:rsid w:val="0C7F4643"/>
    <w:rsid w:val="0D8E506A"/>
    <w:rsid w:val="0D9230C4"/>
    <w:rsid w:val="0DEF3B5D"/>
    <w:rsid w:val="0E8F15F3"/>
    <w:rsid w:val="0F1211CF"/>
    <w:rsid w:val="11205ECA"/>
    <w:rsid w:val="118C1FC1"/>
    <w:rsid w:val="11CD493D"/>
    <w:rsid w:val="11D56D94"/>
    <w:rsid w:val="11F8716D"/>
    <w:rsid w:val="123F5B86"/>
    <w:rsid w:val="131C2AD8"/>
    <w:rsid w:val="131F4127"/>
    <w:rsid w:val="13CE6316"/>
    <w:rsid w:val="141301F3"/>
    <w:rsid w:val="14525607"/>
    <w:rsid w:val="14790EC8"/>
    <w:rsid w:val="156345CE"/>
    <w:rsid w:val="157D71F6"/>
    <w:rsid w:val="15EE4238"/>
    <w:rsid w:val="16413C15"/>
    <w:rsid w:val="16BB3C36"/>
    <w:rsid w:val="17C119D0"/>
    <w:rsid w:val="17E45627"/>
    <w:rsid w:val="17F73313"/>
    <w:rsid w:val="18506BD8"/>
    <w:rsid w:val="19194388"/>
    <w:rsid w:val="1A0965AC"/>
    <w:rsid w:val="1A110BB1"/>
    <w:rsid w:val="1A1422C3"/>
    <w:rsid w:val="1A4C273D"/>
    <w:rsid w:val="1A731AE3"/>
    <w:rsid w:val="1AC0793E"/>
    <w:rsid w:val="1AEE3515"/>
    <w:rsid w:val="1B4C1EA1"/>
    <w:rsid w:val="1C311217"/>
    <w:rsid w:val="1C5E22CF"/>
    <w:rsid w:val="1C9654AA"/>
    <w:rsid w:val="1D507C7E"/>
    <w:rsid w:val="1D702722"/>
    <w:rsid w:val="1DC20AE2"/>
    <w:rsid w:val="1E875DF4"/>
    <w:rsid w:val="1EBB26FD"/>
    <w:rsid w:val="1F8222CA"/>
    <w:rsid w:val="1FF27F2B"/>
    <w:rsid w:val="205771F8"/>
    <w:rsid w:val="20834931"/>
    <w:rsid w:val="20AE5D7F"/>
    <w:rsid w:val="219C6769"/>
    <w:rsid w:val="22623D64"/>
    <w:rsid w:val="228D0F6D"/>
    <w:rsid w:val="22A72473"/>
    <w:rsid w:val="22C77AD8"/>
    <w:rsid w:val="22D1642A"/>
    <w:rsid w:val="23433BF6"/>
    <w:rsid w:val="23CF2036"/>
    <w:rsid w:val="23FD44C8"/>
    <w:rsid w:val="247C29BB"/>
    <w:rsid w:val="247F2D27"/>
    <w:rsid w:val="24C17A34"/>
    <w:rsid w:val="25284EF8"/>
    <w:rsid w:val="26022F27"/>
    <w:rsid w:val="26172E4A"/>
    <w:rsid w:val="265D453F"/>
    <w:rsid w:val="27CD2C5C"/>
    <w:rsid w:val="288809EB"/>
    <w:rsid w:val="28E3653B"/>
    <w:rsid w:val="296E6954"/>
    <w:rsid w:val="2A553C8F"/>
    <w:rsid w:val="2AED4202"/>
    <w:rsid w:val="2B321B8B"/>
    <w:rsid w:val="2D1A7BC2"/>
    <w:rsid w:val="2D9161C7"/>
    <w:rsid w:val="2DD402C7"/>
    <w:rsid w:val="2EA86DF1"/>
    <w:rsid w:val="2F387D7D"/>
    <w:rsid w:val="2FB71BBD"/>
    <w:rsid w:val="309B5F31"/>
    <w:rsid w:val="30D34B37"/>
    <w:rsid w:val="31E2772E"/>
    <w:rsid w:val="32EE382F"/>
    <w:rsid w:val="332C4762"/>
    <w:rsid w:val="33B117FE"/>
    <w:rsid w:val="341C6665"/>
    <w:rsid w:val="34524F8B"/>
    <w:rsid w:val="348C138D"/>
    <w:rsid w:val="34E8732D"/>
    <w:rsid w:val="3580265C"/>
    <w:rsid w:val="35BD51CD"/>
    <w:rsid w:val="364350A8"/>
    <w:rsid w:val="36520AE2"/>
    <w:rsid w:val="36B8554B"/>
    <w:rsid w:val="37132E21"/>
    <w:rsid w:val="37BC1278"/>
    <w:rsid w:val="37C22DA8"/>
    <w:rsid w:val="37DB7486"/>
    <w:rsid w:val="386874C0"/>
    <w:rsid w:val="387109FA"/>
    <w:rsid w:val="39540E77"/>
    <w:rsid w:val="3A19344C"/>
    <w:rsid w:val="3A416AD4"/>
    <w:rsid w:val="3B486B31"/>
    <w:rsid w:val="3DC142C1"/>
    <w:rsid w:val="3F773CF8"/>
    <w:rsid w:val="40C44497"/>
    <w:rsid w:val="414B6511"/>
    <w:rsid w:val="41966758"/>
    <w:rsid w:val="423B0E7F"/>
    <w:rsid w:val="423F2B67"/>
    <w:rsid w:val="42E76AA6"/>
    <w:rsid w:val="42FB6910"/>
    <w:rsid w:val="43243D51"/>
    <w:rsid w:val="443B3FD5"/>
    <w:rsid w:val="446E73E6"/>
    <w:rsid w:val="44B64755"/>
    <w:rsid w:val="45A3097F"/>
    <w:rsid w:val="45AA207D"/>
    <w:rsid w:val="46F84EAC"/>
    <w:rsid w:val="47BD69D4"/>
    <w:rsid w:val="47E7657F"/>
    <w:rsid w:val="48141E9E"/>
    <w:rsid w:val="482E243F"/>
    <w:rsid w:val="48A975B9"/>
    <w:rsid w:val="49C7109C"/>
    <w:rsid w:val="49E201D3"/>
    <w:rsid w:val="49EB5161"/>
    <w:rsid w:val="4A3C1BE2"/>
    <w:rsid w:val="4A865ACB"/>
    <w:rsid w:val="4A8F07A3"/>
    <w:rsid w:val="4A96093D"/>
    <w:rsid w:val="4C6B5FDC"/>
    <w:rsid w:val="4CE04C09"/>
    <w:rsid w:val="4D0A20BF"/>
    <w:rsid w:val="4D4E0184"/>
    <w:rsid w:val="4D612086"/>
    <w:rsid w:val="4E2B7B96"/>
    <w:rsid w:val="4E973429"/>
    <w:rsid w:val="4F10377D"/>
    <w:rsid w:val="4F187CEC"/>
    <w:rsid w:val="50932C86"/>
    <w:rsid w:val="50E7505D"/>
    <w:rsid w:val="518A4C71"/>
    <w:rsid w:val="51916AD6"/>
    <w:rsid w:val="52273A0D"/>
    <w:rsid w:val="52BE3345"/>
    <w:rsid w:val="53972110"/>
    <w:rsid w:val="53A46B1D"/>
    <w:rsid w:val="53EE32B1"/>
    <w:rsid w:val="54190F99"/>
    <w:rsid w:val="54421B89"/>
    <w:rsid w:val="55507DBB"/>
    <w:rsid w:val="56C9117D"/>
    <w:rsid w:val="57751E29"/>
    <w:rsid w:val="578E445E"/>
    <w:rsid w:val="57BE2355"/>
    <w:rsid w:val="57FD07AB"/>
    <w:rsid w:val="592F1B49"/>
    <w:rsid w:val="59E23CD3"/>
    <w:rsid w:val="5A3E2D2D"/>
    <w:rsid w:val="5A4072B1"/>
    <w:rsid w:val="5AE63105"/>
    <w:rsid w:val="5B02707C"/>
    <w:rsid w:val="5C427651"/>
    <w:rsid w:val="5C4B78E8"/>
    <w:rsid w:val="5C8660A0"/>
    <w:rsid w:val="5CA548C3"/>
    <w:rsid w:val="5E1006C0"/>
    <w:rsid w:val="5E8C3AB6"/>
    <w:rsid w:val="5EB55E6C"/>
    <w:rsid w:val="5F376617"/>
    <w:rsid w:val="601E687C"/>
    <w:rsid w:val="603A6FF3"/>
    <w:rsid w:val="605F0D7A"/>
    <w:rsid w:val="606111E9"/>
    <w:rsid w:val="6068755E"/>
    <w:rsid w:val="60EE4C07"/>
    <w:rsid w:val="612C4B51"/>
    <w:rsid w:val="61D30C32"/>
    <w:rsid w:val="62A05E55"/>
    <w:rsid w:val="63DB77E7"/>
    <w:rsid w:val="646166E3"/>
    <w:rsid w:val="6476539B"/>
    <w:rsid w:val="660904E7"/>
    <w:rsid w:val="660B01E1"/>
    <w:rsid w:val="66272404"/>
    <w:rsid w:val="6672237D"/>
    <w:rsid w:val="67C07817"/>
    <w:rsid w:val="67EE7BB1"/>
    <w:rsid w:val="686E4AB7"/>
    <w:rsid w:val="68C37BFD"/>
    <w:rsid w:val="69471C56"/>
    <w:rsid w:val="69F72EBF"/>
    <w:rsid w:val="6A2E1EBC"/>
    <w:rsid w:val="6A6D43A0"/>
    <w:rsid w:val="6AF61919"/>
    <w:rsid w:val="6B41788E"/>
    <w:rsid w:val="6B625269"/>
    <w:rsid w:val="6B710897"/>
    <w:rsid w:val="6C5439D9"/>
    <w:rsid w:val="6C7A2BD9"/>
    <w:rsid w:val="6C824F71"/>
    <w:rsid w:val="6DDE5723"/>
    <w:rsid w:val="6E4001BC"/>
    <w:rsid w:val="6F5736C0"/>
    <w:rsid w:val="6FB264B2"/>
    <w:rsid w:val="6FFD1A9F"/>
    <w:rsid w:val="703E49CC"/>
    <w:rsid w:val="704C2B0E"/>
    <w:rsid w:val="710E1889"/>
    <w:rsid w:val="719C345E"/>
    <w:rsid w:val="71D104C0"/>
    <w:rsid w:val="71D51F98"/>
    <w:rsid w:val="725675B7"/>
    <w:rsid w:val="72872424"/>
    <w:rsid w:val="7295696E"/>
    <w:rsid w:val="72CD4A92"/>
    <w:rsid w:val="733815D3"/>
    <w:rsid w:val="735878B2"/>
    <w:rsid w:val="741D1A24"/>
    <w:rsid w:val="75B90D91"/>
    <w:rsid w:val="75FC5EA7"/>
    <w:rsid w:val="7642466D"/>
    <w:rsid w:val="765D1660"/>
    <w:rsid w:val="77B16234"/>
    <w:rsid w:val="77E15A8C"/>
    <w:rsid w:val="783830FD"/>
    <w:rsid w:val="78983D88"/>
    <w:rsid w:val="78A03BA5"/>
    <w:rsid w:val="7944114D"/>
    <w:rsid w:val="7A050E20"/>
    <w:rsid w:val="7A82659C"/>
    <w:rsid w:val="7AE1359F"/>
    <w:rsid w:val="7C944A0E"/>
    <w:rsid w:val="7D0565F1"/>
    <w:rsid w:val="7E5271D3"/>
    <w:rsid w:val="7E7701F3"/>
    <w:rsid w:val="7E915ADA"/>
    <w:rsid w:val="7EC03AD5"/>
    <w:rsid w:val="7EC31EFE"/>
    <w:rsid w:val="7F4006F6"/>
    <w:rsid w:val="7F4061AF"/>
    <w:rsid w:val="7FC04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行云流水">
  <a:themeElements>
    <a:clrScheme name="Calligraphy">
      <a:dk1>
        <a:sysClr val="windowText" lastClr="000000"/>
      </a:dk1>
      <a:lt1>
        <a:sysClr val="window" lastClr="FFFFFF"/>
      </a:lt1>
      <a:dk2>
        <a:srgbClr val="411401"/>
      </a:dk2>
      <a:lt2>
        <a:srgbClr val="FFE6E6"/>
      </a:lt2>
      <a:accent1>
        <a:srgbClr val="A24A48"/>
      </a:accent1>
      <a:accent2>
        <a:srgbClr val="B2935C"/>
      </a:accent2>
      <a:accent3>
        <a:srgbClr val="6A9A9A"/>
      </a:accent3>
      <a:accent4>
        <a:srgbClr val="B2B787"/>
      </a:accent4>
      <a:accent5>
        <a:srgbClr val="91644B"/>
      </a:accent5>
      <a:accent6>
        <a:srgbClr val="654A76"/>
      </a:accent6>
      <a:hlink>
        <a:srgbClr val="00A800"/>
      </a:hlink>
      <a:folHlink>
        <a:srgbClr val="FF00FF"/>
      </a:folHlink>
    </a:clrScheme>
    <a:fontScheme name="Calligraphy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华文行楷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明朝"/>
        <a:font script="Hang" typeface="HY견명조"/>
        <a:font script="Hans" typeface="华文行楷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Calligraphy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  <a:satMod val="130000"/>
              </a:schemeClr>
            </a:gs>
            <a:gs pos="50000">
              <a:schemeClr val="phClr">
                <a:tint val="45000"/>
                <a:satMod val="220000"/>
              </a:schemeClr>
            </a:gs>
            <a:gs pos="100000">
              <a:schemeClr val="phClr">
                <a:tint val="90000"/>
                <a:satMod val="13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100000"/>
                <a:shade val="90000"/>
                <a:hueMod val="100000"/>
                <a:satMod val="200000"/>
              </a:schemeClr>
            </a:gs>
            <a:gs pos="50000">
              <a:schemeClr val="phClr">
                <a:tint val="100000"/>
                <a:shade val="60000"/>
                <a:hueMod val="100000"/>
                <a:satMod val="180000"/>
              </a:schemeClr>
            </a:gs>
            <a:gs pos="100000">
              <a:schemeClr val="phClr">
                <a:tint val="100000"/>
                <a:shade val="90000"/>
                <a:hueMod val="100000"/>
                <a:satMod val="2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glow rad="50600">
              <a:schemeClr val="phClr">
                <a:alpha val="40000"/>
              </a:schemeClr>
            </a:glow>
          </a:effectLst>
        </a:effectStyle>
        <a:effectStyle>
          <a:effectLst>
            <a:glow rad="101600">
              <a:schemeClr val="phClr">
                <a:alpha val="60000"/>
              </a:schemeClr>
            </a:glow>
          </a:effectLst>
          <a:scene3d>
            <a:camera prst="isometricLeftDown" fov="0">
              <a:rot lat="0" lon="0" rev="0"/>
            </a:camera>
            <a:lightRig rig="harsh" dir="tl">
              <a:rot lat="0" lon="0" rev="14280000"/>
            </a:lightRig>
          </a:scene3d>
          <a:sp3d prstMaterial="flat">
            <a:bevelT w="38100" h="50800" prst="softRound"/>
          </a:sp3d>
        </a:effectStyle>
        <a:effectStyle>
          <a:effectLst>
            <a:glow>
              <a:schemeClr val="phClr"/>
            </a:glow>
          </a:effectLst>
          <a:scene3d>
            <a:camera prst="isometricLeftDown">
              <a:rot lat="0" lon="0" rev="0"/>
            </a:camera>
            <a:lightRig rig="harsh" dir="tl">
              <a:rot lat="0" lon="0" rev="14280000"/>
            </a:lightRig>
          </a:scene3d>
          <a:sp3d extrusionH="63500" contourW="38100" prstMaterial="flat">
            <a:bevelT w="50800" h="63500" prst="softRound"/>
            <a:contourClr>
              <a:schemeClr val="phClr">
                <a:tint val="5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80000"/>
                <a:hueMod val="100000"/>
                <a:satMod val="300000"/>
              </a:schemeClr>
            </a:gs>
            <a:gs pos="72000">
              <a:schemeClr val="phClr">
                <a:tint val="100000"/>
                <a:shade val="100000"/>
                <a:hueMod val="100000"/>
                <a:satMod val="100000"/>
              </a:schemeClr>
            </a:gs>
            <a:gs pos="81000">
              <a:schemeClr val="phClr">
                <a:tint val="98000"/>
                <a:shade val="100000"/>
                <a:hueMod val="100000"/>
                <a:satMod val="150000"/>
              </a:schemeClr>
            </a:gs>
            <a:gs pos="100000">
              <a:schemeClr val="phClr">
                <a:tint val="100000"/>
                <a:shade val="100000"/>
                <a:hueMod val="100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100000"/>
                <a:shade val="39000"/>
                <a:hueMod val="100000"/>
                <a:satMod val="150000"/>
              </a:schemeClr>
              <a:schemeClr val="phClr">
                <a:tint val="90000"/>
                <a:shade val="100000"/>
                <a:hueMod val="100000"/>
                <a:satMod val="120000"/>
              </a:schemeClr>
            </a:duotone>
          </a:blip>
          <a:stretch>
            <a:fillRect/>
          </a:stretch>
        </a:blip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任禹</dc:creator>
  <cp:lastModifiedBy>~~</cp:lastModifiedBy>
  <dcterms:modified xsi:type="dcterms:W3CDTF">2020-01-19T12:53:12Z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