
<file path=[Content_Types].xml><?xml version="1.0" encoding="utf-8"?>
<Types xmlns="http://schemas.openxmlformats.org/package/2006/content-types">
  <Default ContentType="image/png" Extension="png"/>
  <Default ContentType="image/png" Extension="tmp"/>
  <Default ContentType="image/jpeg" Extension="jpeg"/>
  <Default ContentType="image/jpeg" Extension="jpg!d"/>
  <Default ContentType="image/jpg" Extension="jpg"/>
  <Default ContentType="image/webp" Extension="webp"/>
  <Default ContentType="image/bmp" Extension="bmp"/>
  <Default ContentType="image/gif" Extension="gif"/>
  <Default ContentType="image/tiff" Extension="tiff"/>
  <Default ContentType="image/x-wmf" Extension="wmf"/>
  <Default ContentType="image/x-wmf" Extension="bin"/>
  <Default ContentType="image/x-emf" Extension="emf"/>
  <Default ContentType="image/aces" Extension="exr"/>
  <Default ContentType="image/x-icon" Extension="ico"/>
  <Default ContentType="application/vnd.openxmlformats-package.relationships+xml" Extension="rels"/>
  <Default ContentType="application/xml" Extension="xml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
  <Relationship Id="rId1" Type="http://schemas.openxmlformats.org/package/2006/relationships/metadata/core-properties" Target="docProps/core.xml" />
  <Relationship Id="rId2" Type="http://schemas.openxmlformats.org/officeDocument/2006/relationships/extended-properties" Target="docProps/app.xml" />
  <Relationship Id="rId3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15="http://schemas.microsoft.com/office/word/2012/wordml" mc:Ignorable="w14 w15 wp14">
  <w:background/>
  <w:body>
    <w:p>
      <w:pPr/>
      <w:r/>
    </w:p>
    <w:p>
      <w:pPr>
        <w:pStyle w:val="dingding-heading1"/>
        <w:spacing w:line="204.70588235294116"/>
      </w:pPr>
      <w:r>
        <w:t xml:space="preserve">一 </w:t>
      </w:r>
      <w:r>
        <w:rPr>
          <w:sz w:val="40"/>
          <w:b w:val="1"/>
        </w:rPr>
        <w:t xml:space="preserve">概述</w:t>
      </w:r>
    </w:p>
    <w:p>
      <w:pPr/>
      <w:r>
        <w:t xml:space="preserve">本文档是真趣工业互联网安全生产数智化平台（下面简称3.X平台）的运维手册；</w:t>
      </w:r>
    </w:p>
    <w:p>
      <w:pPr/>
      <w:r/>
    </w:p>
    <w:p>
      <w:pPr/>
      <w:r>
        <w:t xml:space="preserve">ps：本手册适用于V3.15.0及其以上版本，低于V3.15.0的版本会有些许差异；</w:t>
      </w:r>
    </w:p>
    <w:p>
      <w:pPr>
        <w:pStyle w:val="dingding-heading1"/>
        <w:spacing w:line="204.70588235294116"/>
      </w:pPr>
      <w:r>
        <w:rPr>
          <w:sz w:val="40"/>
          <w:b w:val="1"/>
        </w:rPr>
        <w:t xml:space="preserve">二 面向读者</w:t>
      </w:r>
    </w:p>
    <w:p>
      <w:pPr/>
      <w:r>
        <w:t xml:space="preserve">本文档面向3.X平台研发人员、运维人员、测试人员、交付经理、运营专员及3.X平台上游产品线的研发及测试人员。</w:t>
      </w:r>
    </w:p>
    <w:p>
      <w:pPr/>
      <w:r>
        <w:t xml:space="preserve">本文档假定：</w:t>
      </w:r>
    </w:p>
    <w:p>
      <w:pPr>
        <w:numPr>
          <w:ilvl w:val="1"/>
          <w:numId w:val="1"/>
        </w:numPr>
      </w:pPr>
      <w:r>
        <w:t xml:space="preserve">你对Linux有一定了解</w:t>
      </w:r>
    </w:p>
    <w:p>
      <w:pPr>
        <w:numPr>
          <w:ilvl w:val="1"/>
          <w:numId w:val="1"/>
        </w:numPr>
      </w:pPr>
      <w:r>
        <w:t xml:space="preserve">你对Docker有一定了解</w:t>
      </w:r>
    </w:p>
    <w:p>
      <w:pPr>
        <w:numPr>
          <w:ilvl w:val="1"/>
          <w:numId w:val="1"/>
        </w:numPr>
      </w:pPr>
      <w:r>
        <w:t xml:space="preserve">你能基于安装文档熟练安装3.X平台</w:t>
      </w:r>
    </w:p>
    <w:p>
      <w:pPr>
        <w:ind/>
      </w:pPr>
      <w:r/>
    </w:p>
    <w:p>
      <w:pPr>
        <w:pStyle w:val="dingding-heading1"/>
        <w:ind/>
        <w:spacing w:line="204.70588235294116"/>
      </w:pPr>
      <w:r>
        <w:rPr>
          <w:sz w:val="40"/>
          <w:b w:val="1"/>
        </w:rPr>
        <w:t xml:space="preserve">三 文档说明</w:t>
      </w:r>
    </w:p>
    <w:p>
      <w:pPr>
        <w:numPr>
          <w:ilvl w:val="0"/>
          <w:numId w:val="2"/>
        </w:numPr>
      </w:pPr>
      <w:r>
        <w:t xml:space="preserve">本文档</w:t>
      </w:r>
      <w:r>
        <w:rPr>
          <w:b w:val="1"/>
        </w:rPr>
        <w:t xml:space="preserve">不是</w:t>
      </w:r>
      <w:r>
        <w:t xml:space="preserve">3.X平台的操作手册，</w:t>
      </w:r>
      <w:r>
        <w:rPr>
          <w:b w:val="1"/>
        </w:rPr>
        <w:t xml:space="preserve">也不是</w:t>
      </w:r>
      <w:r>
        <w:t xml:space="preserve">3.X平台的安装手册。</w:t>
      </w:r>
    </w:p>
    <w:p>
      <w:pPr>
        <w:numPr>
          <w:ilvl w:val="0"/>
          <w:numId w:val="2"/>
        </w:numPr>
      </w:pPr>
      <w:r>
        <w:t xml:space="preserve">本文档内容适用于通过3.X平台</w:t>
      </w:r>
      <w:r>
        <w:rPr>
          <w:color w:val="FE0300"/>
          <w:b w:val="1"/>
        </w:rPr>
        <w:t xml:space="preserve">标准版安装包安装的环境，暂不适用于分布式/集群化环境</w:t>
      </w:r>
      <w:r>
        <w:t xml:space="preserve">。</w:t>
      </w:r>
    </w:p>
    <w:p>
      <w:pPr>
        <w:numPr>
          <w:ilvl w:val="0"/>
          <w:numId w:val="2"/>
        </w:numPr>
      </w:pPr>
      <w:r>
        <w:t xml:space="preserve">本文档内容适用于V3.15.0版本。（低于V3.15.0的版本会有些许差异，部分适用）</w:t>
      </w:r>
    </w:p>
    <w:p>
      <w:pPr>
        <w:numPr>
          <w:ilvl w:val="0"/>
          <w:numId w:val="2"/>
        </w:numPr>
      </w:pPr>
      <w:r>
        <w:t xml:space="preserve">如有错误或建议要反馈，请发送至 </w:t>
      </w:r>
      <w:r>
        <w:rPr>
          <w:color w:val="4472C6"/>
          <w:u w:val="single"/>
        </w:rPr>
        <w:t xml:space="preserve">luweiwei@joysuch.com</w:t>
      </w:r>
      <w:r>
        <w:t xml:space="preserve">，内容会持续优化。</w:t>
      </w:r>
    </w:p>
    <w:p>
      <w:pPr>
        <w:ind/>
      </w:pPr>
      <w:r/>
    </w:p>
    <w:p>
      <w:pPr>
        <w:ind/>
      </w:pPr>
      <w:r/>
    </w:p>
    <w:p>
      <w:pPr>
        <w:pStyle w:val="dingding-heading1"/>
        <w:ind/>
        <w:spacing w:line="204.70588235294116"/>
      </w:pPr>
      <w:r>
        <w:rPr>
          <w:sz w:val="40"/>
          <w:b w:val="1"/>
        </w:rPr>
        <w:t xml:space="preserve">四 架构简述</w:t>
      </w:r>
    </w:p>
    <w:p>
      <w:pPr>
        <w:ind/>
      </w:pPr>
      <w:r>
        <w:t xml:space="preserve">3.X平台架构示意图如下图所示：</w:t>
      </w:r>
    </w:p>
    <w:p>
      <w:pPr>
        <w:ind/>
      </w:pPr>
      <w:r/>
      <w:r>
        <w:drawing>
          <wp:inline distT="0" distB="0" distL="0" distR="0">
            <wp:extent cx="7124700" cy="9808723"/>
            <wp:effectExtent b="0" l="0" r="0" t="0"/>
            <wp:docPr id="2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0">
                      <a:off x="0" y="0"/>
                      <a:ext cx="7124700" cy="980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>
        <w:pStyle w:val="dingding-heading1"/>
        <w:spacing w:line="204.70588235294116"/>
      </w:pPr>
      <w:r>
        <w:rPr>
          <w:sz w:val="40"/>
          <w:b w:val="1"/>
        </w:rPr>
        <w:t xml:space="preserve">五 端口一览</w:t>
      </w:r>
    </w:p>
    <w:p>
      <w:pPr/>
      <w:r>
        <w:t xml:space="preserve">下面表格只列了部分重要且常用端口</w:t>
      </w:r>
    </w:p>
    <w:tbl>
      <w:tblPr>
        <w:tblStyle w:val="tableHeader"/>
        <w:tblW w:w="5000" w:type="pct"/>
        <w:tblLook w:firstRow="1" w:lastRow="0" w:firstColumn="0" w:lastColumn="0" w:noHBand="0" w:noVBand="0"/>
      </w:tblPr>
      <w:tblGrid>
        <w:gridCol w:w="1457"/>
        <w:gridCol w:w="2779"/>
        <w:gridCol w:w="1472"/>
        <w:gridCol w:w="5511"/>
      </w:tblGrid>
      <w:tr>
        <w:trPr>
          <w:trHeight w:val="0"/>
        </w:trPr>
        <w:tc>
          <w:tcPr>
            <w:tcW w:w="1457" w:type="dxa"/>
          </w:tcPr>
          <w:p>
            <w:pPr/>
            <w:r>
              <w:t xml:space="preserve">端口类型</w:t>
            </w:r>
          </w:p>
        </w:tc>
        <w:tc>
          <w:tcPr>
            <w:tcW w:w="2779" w:type="dxa"/>
          </w:tcPr>
          <w:p>
            <w:pPr/>
            <w:r>
              <w:t xml:space="preserve">所属中间件/应用</w:t>
            </w:r>
          </w:p>
        </w:tc>
        <w:tc>
          <w:tcPr>
            <w:tcW w:w="1472" w:type="dxa"/>
          </w:tcPr>
          <w:p>
            <w:pPr/>
            <w:r>
              <w:t xml:space="preserve">端口</w:t>
            </w:r>
          </w:p>
        </w:tc>
        <w:tc>
          <w:tcPr>
            <w:tcW w:w="5511" w:type="dxa"/>
          </w:tcPr>
          <w:p>
            <w:pPr/>
            <w:r>
              <w:t xml:space="preserve">端口说明</w:t>
            </w:r>
          </w:p>
        </w:tc>
      </w:tr>
      <w:tr>
        <w:trPr>
          <w:trHeight w:val="0"/>
        </w:trPr>
        <w:tc>
          <w:tcPr>
            <w:tcW w:w="1457" w:type="dxa"/>
          </w:tcPr>
          <w:p>
            <w:pPr/>
            <w:r>
              <w:t xml:space="preserve">HTTP</w:t>
            </w:r>
          </w:p>
        </w:tc>
        <w:tc>
          <w:tcPr>
            <w:tcW w:w="2779" w:type="dxa"/>
            <w:vMerge w:val="restart"/>
            <w:vAlign w:val="center"/>
          </w:tcPr>
          <w:p>
            <w:pPr/>
            <w:r>
              <w:t xml:space="preserve">Nginx</w:t>
            </w:r>
          </w:p>
        </w:tc>
        <w:tc>
          <w:tcPr>
            <w:tcW w:w="1472" w:type="dxa"/>
          </w:tcPr>
          <w:p>
            <w:pPr/>
            <w:r>
              <w:t xml:space="preserve">80/9550</w:t>
            </w:r>
          </w:p>
        </w:tc>
        <w:tc>
          <w:tcPr>
            <w:tcW w:w="5511" w:type="dxa"/>
          </w:tcPr>
          <w:p>
            <w:pPr/>
            <w:r>
              <w:t xml:space="preserve">3.X访问端口</w:t>
            </w:r>
          </w:p>
        </w:tc>
      </w:tr>
      <w:tr>
        <w:trPr>
          <w:trHeight w:val="0"/>
        </w:trPr>
        <w:tc>
          <w:tcPr>
            <w:tcW w:w="1457" w:type="dxa"/>
          </w:tcPr>
          <w:p>
            <w:pPr/>
            <w:r>
              <w:t xml:space="preserve">TCP</w:t>
            </w:r>
          </w:p>
        </w:tc>
        <w:tc>
          <w:tcPr>
            <w:vMerge w:val="continue"/>
            <w:vAlign w:val="center"/>
          </w:tcPr>
          <w:p>
            <w:pPr/>
            <w:r/>
          </w:p>
        </w:tc>
        <w:tc>
          <w:tcPr>
            <w:tcW w:w="1472" w:type="dxa"/>
          </w:tcPr>
          <w:p>
            <w:pPr/>
            <w:r>
              <w:t xml:space="preserve">30000</w:t>
            </w:r>
          </w:p>
        </w:tc>
        <w:tc>
          <w:tcPr>
            <w:tcW w:w="5511" w:type="dxa"/>
          </w:tcPr>
          <w:p>
            <w:pPr/>
            <w:r>
              <w:t xml:space="preserve">安帕尔检测仪对接端口</w:t>
            </w:r>
          </w:p>
        </w:tc>
      </w:tr>
      <w:tr>
        <w:trPr>
          <w:trHeight w:val="0"/>
        </w:trPr>
        <w:tc>
          <w:tcPr>
            <w:tcW w:w="1457" w:type="dxa"/>
          </w:tcPr>
          <w:p>
            <w:pPr/>
            <w:r>
              <w:t xml:space="preserve">HTTP</w:t>
            </w:r>
          </w:p>
        </w:tc>
        <w:tc>
          <w:tcPr>
            <w:tcW w:w="2779" w:type="dxa"/>
          </w:tcPr>
          <w:p>
            <w:pPr/>
            <w:r>
              <w:t xml:space="preserve">tiji-xxl-job</w:t>
            </w:r>
          </w:p>
        </w:tc>
        <w:tc>
          <w:tcPr>
            <w:tcW w:w="1472" w:type="dxa"/>
          </w:tcPr>
          <w:p>
            <w:pPr/>
            <w:r>
              <w:t xml:space="preserve">8351</w:t>
            </w:r>
          </w:p>
        </w:tc>
        <w:tc>
          <w:tcPr>
            <w:tcW w:w="5511" w:type="dxa"/>
          </w:tcPr>
          <w:p>
            <w:pPr/>
            <w:r>
              <w:t xml:space="preserve">分布式调度任务的管理页面端口</w:t>
            </w:r>
          </w:p>
        </w:tc>
      </w:tr>
      <w:tr>
        <w:trPr>
          <w:trHeight w:val="0"/>
        </w:trPr>
        <w:tc>
          <w:tcPr>
            <w:tcW w:w="1457" w:type="dxa"/>
          </w:tcPr>
          <w:p>
            <w:pPr/>
            <w:r>
              <w:t xml:space="preserve">TCP</w:t>
            </w:r>
          </w:p>
        </w:tc>
        <w:tc>
          <w:tcPr>
            <w:tcW w:w="2779" w:type="dxa"/>
          </w:tcPr>
          <w:p>
            <w:pPr/>
            <w:r>
              <w:t xml:space="preserve">MySQL</w:t>
            </w:r>
          </w:p>
        </w:tc>
        <w:tc>
          <w:tcPr>
            <w:tcW w:w="1472" w:type="dxa"/>
          </w:tcPr>
          <w:p>
            <w:pPr/>
            <w:r>
              <w:t xml:space="preserve">3306</w:t>
            </w:r>
          </w:p>
        </w:tc>
        <w:tc>
          <w:tcPr>
            <w:tcW w:w="5511" w:type="dxa"/>
          </w:tcPr>
          <w:p>
            <w:pPr/>
            <w:r>
              <w:t xml:space="preserve">MySQL数据库连接端口</w:t>
            </w:r>
          </w:p>
        </w:tc>
      </w:tr>
      <w:tr>
        <w:trPr>
          <w:trHeight w:val="0"/>
        </w:trPr>
        <w:tc>
          <w:tcPr>
            <w:tcW w:w="1457" w:type="dxa"/>
          </w:tcPr>
          <w:p>
            <w:pPr/>
            <w:r>
              <w:t xml:space="preserve">TCP</w:t>
            </w:r>
          </w:p>
        </w:tc>
        <w:tc>
          <w:tcPr>
            <w:tcW w:w="2779" w:type="dxa"/>
          </w:tcPr>
          <w:p>
            <w:pPr/>
            <w:r>
              <w:t xml:space="preserve">MongoDB</w:t>
            </w:r>
          </w:p>
        </w:tc>
        <w:tc>
          <w:tcPr>
            <w:tcW w:w="1472" w:type="dxa"/>
          </w:tcPr>
          <w:p>
            <w:pPr/>
            <w:r>
              <w:t xml:space="preserve">27017</w:t>
            </w:r>
          </w:p>
        </w:tc>
        <w:tc>
          <w:tcPr>
            <w:tcW w:w="5511" w:type="dxa"/>
          </w:tcPr>
          <w:p>
            <w:pPr/>
            <w:r>
              <w:t xml:space="preserve">MongoDB数据库连接端口</w:t>
            </w:r>
          </w:p>
        </w:tc>
      </w:tr>
      <w:tr>
        <w:trPr>
          <w:trHeight w:val="0"/>
        </w:trPr>
        <w:tc>
          <w:tcPr>
            <w:tcW w:w="1457" w:type="dxa"/>
          </w:tcPr>
          <w:p>
            <w:pPr/>
            <w:r>
              <w:t xml:space="preserve">TCP</w:t>
            </w:r>
          </w:p>
        </w:tc>
        <w:tc>
          <w:tcPr>
            <w:tcW w:w="2779" w:type="dxa"/>
          </w:tcPr>
          <w:p>
            <w:pPr/>
            <w:r>
              <w:t xml:space="preserve">InfluxDB</w:t>
            </w:r>
          </w:p>
        </w:tc>
        <w:tc>
          <w:tcPr>
            <w:tcW w:w="1472" w:type="dxa"/>
          </w:tcPr>
          <w:p>
            <w:pPr/>
            <w:r>
              <w:t xml:space="preserve">8086</w:t>
            </w:r>
          </w:p>
        </w:tc>
        <w:tc>
          <w:tcPr>
            <w:tcW w:w="5511" w:type="dxa"/>
          </w:tcPr>
          <w:p>
            <w:pPr/>
            <w:r>
              <w:t xml:space="preserve">InfluxDB数据库连接端口</w:t>
            </w:r>
          </w:p>
        </w:tc>
      </w:tr>
      <w:tr>
        <w:trPr>
          <w:trHeight w:val="0"/>
        </w:trPr>
        <w:tc>
          <w:tcPr>
            <w:tcW w:w="1457" w:type="dxa"/>
          </w:tcPr>
          <w:p>
            <w:pPr/>
            <w:r>
              <w:t xml:space="preserve">TCP</w:t>
            </w:r>
          </w:p>
        </w:tc>
        <w:tc>
          <w:tcPr>
            <w:tcW w:w="2779" w:type="dxa"/>
          </w:tcPr>
          <w:p>
            <w:pPr/>
            <w:r>
              <w:t xml:space="preserve">Redis</w:t>
            </w:r>
          </w:p>
        </w:tc>
        <w:tc>
          <w:tcPr>
            <w:tcW w:w="1472" w:type="dxa"/>
          </w:tcPr>
          <w:p>
            <w:pPr/>
            <w:r>
              <w:t xml:space="preserve">6379</w:t>
            </w:r>
          </w:p>
        </w:tc>
        <w:tc>
          <w:tcPr>
            <w:tcW w:w="5511" w:type="dxa"/>
          </w:tcPr>
          <w:p>
            <w:pPr/>
            <w:r>
              <w:t xml:space="preserve">Redis连接端口</w:t>
            </w:r>
          </w:p>
        </w:tc>
      </w:tr>
      <w:tr>
        <w:trPr>
          <w:trHeight w:val="0"/>
        </w:trPr>
        <w:tc>
          <w:tcPr>
            <w:tcW w:w="1457" w:type="dxa"/>
          </w:tcPr>
          <w:p>
            <w:pPr/>
            <w:r>
              <w:t xml:space="preserve">HTTP</w:t>
            </w:r>
          </w:p>
        </w:tc>
        <w:tc>
          <w:tcPr>
            <w:tcW w:w="2779" w:type="dxa"/>
          </w:tcPr>
          <w:p>
            <w:pPr/>
            <w:r>
              <w:t xml:space="preserve">Nacos</w:t>
            </w:r>
          </w:p>
        </w:tc>
        <w:tc>
          <w:tcPr>
            <w:tcW w:w="1472" w:type="dxa"/>
          </w:tcPr>
          <w:p>
            <w:pPr/>
            <w:r>
              <w:t xml:space="preserve">8848</w:t>
            </w:r>
          </w:p>
        </w:tc>
        <w:tc>
          <w:tcPr>
            <w:tcW w:w="5511" w:type="dxa"/>
          </w:tcPr>
          <w:p>
            <w:pPr/>
            <w:r>
              <w:t xml:space="preserve">Nacos管理页面的端口</w:t>
            </w:r>
          </w:p>
        </w:tc>
      </w:tr>
      <w:tr>
        <w:trPr>
          <w:trHeight w:val="0"/>
        </w:trPr>
        <w:tc>
          <w:tcPr>
            <w:tcW w:w="1457" w:type="dxa"/>
          </w:tcPr>
          <w:p>
            <w:pPr/>
            <w:r>
              <w:t xml:space="preserve">TCP</w:t>
            </w:r>
          </w:p>
        </w:tc>
        <w:tc>
          <w:tcPr>
            <w:tcW w:w="2779" w:type="dxa"/>
            <w:vMerge w:val="restart"/>
            <w:vAlign w:val="center"/>
          </w:tcPr>
          <w:p>
            <w:pPr>
              <w:jc w:val="left"/>
            </w:pPr>
            <w:r>
              <w:t xml:space="preserve">RocketMQ</w:t>
            </w:r>
          </w:p>
        </w:tc>
        <w:tc>
          <w:tcPr>
            <w:tcW w:w="1472" w:type="dxa"/>
          </w:tcPr>
          <w:p>
            <w:pPr/>
            <w:r>
              <w:t xml:space="preserve">9876</w:t>
            </w:r>
          </w:p>
        </w:tc>
        <w:tc>
          <w:tcPr>
            <w:tcW w:w="5511" w:type="dxa"/>
          </w:tcPr>
          <w:p>
            <w:pPr/>
            <w:r>
              <w:t xml:space="preserve">RocketMQ nameserver 端口</w:t>
            </w:r>
          </w:p>
        </w:tc>
      </w:tr>
      <w:tr>
        <w:trPr>
          <w:trHeight w:val="645"/>
        </w:trPr>
        <w:tc>
          <w:tcPr>
            <w:tcW w:w="1457" w:type="dxa"/>
          </w:tcPr>
          <w:p>
            <w:pPr/>
            <w:r>
              <w:t xml:space="preserve">TCP</w:t>
            </w:r>
          </w:p>
        </w:tc>
        <w:tc>
          <w:tcPr>
            <w:vMerge w:val="continue"/>
            <w:vAlign w:val="center"/>
          </w:tcPr>
          <w:p>
            <w:pPr>
              <w:jc w:val="left"/>
            </w:pPr>
            <w:r/>
          </w:p>
        </w:tc>
        <w:tc>
          <w:tcPr>
            <w:tcW w:w="1472" w:type="dxa"/>
          </w:tcPr>
          <w:p>
            <w:pPr/>
            <w:r>
              <w:t xml:space="preserve">10911</w:t>
            </w:r>
          </w:p>
        </w:tc>
        <w:tc>
          <w:tcPr>
            <w:tcW w:w="5511" w:type="dxa"/>
          </w:tcPr>
          <w:p>
            <w:pPr/>
            <w:r>
              <w:t xml:space="preserve">RocketMQ broker端口</w:t>
            </w:r>
          </w:p>
        </w:tc>
      </w:tr>
      <w:tr>
        <w:trPr>
          <w:trHeight w:val="0"/>
        </w:trPr>
        <w:tc>
          <w:tcPr>
            <w:tcW w:w="1457" w:type="dxa"/>
          </w:tcPr>
          <w:p>
            <w:pPr/>
            <w:r>
              <w:t xml:space="preserve">HTTP</w:t>
            </w:r>
          </w:p>
        </w:tc>
        <w:tc>
          <w:tcPr>
            <w:vMerge w:val="continue"/>
            <w:vAlign w:val="center"/>
          </w:tcPr>
          <w:p>
            <w:pPr>
              <w:jc w:val="left"/>
            </w:pPr>
            <w:r/>
          </w:p>
        </w:tc>
        <w:tc>
          <w:tcPr>
            <w:tcW w:w="1472" w:type="dxa"/>
          </w:tcPr>
          <w:p>
            <w:pPr/>
            <w:r>
              <w:t xml:space="preserve">30809</w:t>
            </w:r>
          </w:p>
        </w:tc>
        <w:tc>
          <w:tcPr>
            <w:tcW w:w="5511" w:type="dxa"/>
          </w:tcPr>
          <w:p>
            <w:pPr/>
            <w:r>
              <w:t xml:space="preserve">RocketMQ 控制台端口（使用时）</w:t>
            </w:r>
          </w:p>
        </w:tc>
      </w:tr>
    </w:tbl>
    <w:p>
      <w:pPr/>
      <w:r/>
    </w:p>
    <w:p>
      <w:pPr/>
      <w:r/>
    </w:p>
    <w:p>
      <w:pPr/>
      <w:r/>
    </w:p>
    <w:p>
      <w:pPr>
        <w:pStyle w:val="dingding-heading1"/>
        <w:spacing w:line="204.70588235294116"/>
      </w:pPr>
      <w:r>
        <w:rPr>
          <w:sz w:val="40"/>
          <w:b w:val="1"/>
        </w:rPr>
        <w:t xml:space="preserve">六 文件目录解读</w:t>
      </w:r>
    </w:p>
    <w:p>
      <w:pPr/>
      <w:r>
        <w:rPr>
          <w:color w:val="FE0300"/>
        </w:rPr>
        <w:t xml:space="preserve">整个系统的所有文件、数据等，基本都存放在</w:t>
      </w:r>
      <w:r>
        <w:rPr>
          <w:color w:val="FE0300"/>
          <w:b w:val="1"/>
          <w:u w:val="single"/>
        </w:rPr>
        <w:t xml:space="preserve">/opt/application/</w:t>
      </w:r>
      <w:r>
        <w:rPr>
          <w:color w:val="FE0300"/>
        </w:rPr>
        <w:t xml:space="preserve">文件夹下，这个文件夹下的操作需要慎重。</w:t>
      </w:r>
    </w:p>
    <w:p>
      <w:pPr/>
      <w:r/>
    </w:p>
    <w:p>
      <w:pPr>
        <w:pStyle w:val="dingding-heading2"/>
        <w:spacing w:line="204.70588235294116"/>
      </w:pPr>
      <w:r>
        <w:rPr>
          <w:sz w:val="32"/>
          <w:b w:val="1"/>
        </w:rPr>
        <w:t xml:space="preserve">6.1 平台的前端文件</w:t>
      </w:r>
    </w:p>
    <w:p>
      <w:pPr/>
      <w:r>
        <w:t xml:space="preserve">/opt/application/hse/nginx/web/tiji-front</w:t>
      </w:r>
    </w:p>
    <w:p>
      <w:pPr/>
      <w:r>
        <w:t xml:space="preserve">/opt/application/hse/nginx/web/tiji-front-workflow</w:t>
      </w:r>
    </w:p>
    <w:p>
      <w:pPr/>
      <w:r>
        <w:t xml:space="preserve">/opt/application/hse/nginx/web/h5</w:t>
      </w:r>
    </w:p>
    <w:p>
      <w:pPr/>
      <w:r>
        <w:t xml:space="preserve">/opt/application/hse/nginx/web/map-h5</w:t>
      </w:r>
    </w:p>
    <w:p>
      <w:pPr/>
      <w:r>
        <w:t xml:space="preserve">这4个目录都是系统的前端文件</w:t>
      </w:r>
    </w:p>
    <w:p>
      <w:pPr/>
      <w:r/>
    </w:p>
    <w:p>
      <w:pPr>
        <w:pStyle w:val="dingding-heading2"/>
        <w:spacing w:line="204.70588235294116"/>
      </w:pPr>
      <w:r>
        <w:rPr>
          <w:sz w:val="32"/>
          <w:b w:val="1"/>
        </w:rPr>
        <w:t xml:space="preserve">6.2 地图文件</w:t>
      </w:r>
    </w:p>
    <w:p>
      <w:pPr/>
      <w:r>
        <w:t xml:space="preserve">/opt/application/hse/nginx/web/map-data</w:t>
      </w:r>
    </w:p>
    <w:p>
      <w:pPr/>
      <w:r>
        <w:t xml:space="preserve">该文件夹下，每个租户都有一个随机字符串的文件夹与之对应，里面存放租户地图文件。</w:t>
      </w:r>
    </w:p>
    <w:p>
      <w:pPr/>
      <w:r>
        <w:t xml:space="preserve">如果5G大小以下的2D、3D地图，可以直接在平台侧租户管理菜单里面上传，大于5G可以联系产研侧处理，</w:t>
      </w:r>
      <w:r>
        <w:rPr>
          <w:color w:val="FE0300"/>
        </w:rPr>
        <w:t xml:space="preserve">不可以随意往该文件夹内手动上传地图</w:t>
      </w:r>
      <w:r>
        <w:t xml:space="preserve">；</w:t>
      </w:r>
    </w:p>
    <w:p>
      <w:pPr/>
      <w:r/>
    </w:p>
    <w:p>
      <w:pPr>
        <w:pStyle w:val="dingding-heading2"/>
        <w:spacing w:line="204.70588235294116"/>
      </w:pPr>
      <w:r>
        <w:rPr>
          <w:sz w:val="32"/>
          <w:b w:val="1"/>
        </w:rPr>
        <w:t xml:space="preserve">6.3 系统附件</w:t>
      </w:r>
    </w:p>
    <w:p>
      <w:pPr/>
      <w:r>
        <w:t xml:space="preserve">附件分两部分，一部分为信息化平台附件，一部分为流程引擎附件；</w:t>
      </w:r>
    </w:p>
    <w:p>
      <w:pPr/>
      <w:r>
        <w:t xml:space="preserve">信息化平台附件：/opt/application/hse/nginx/attachment  该文件夹下，每个租户会有一个独立的文件夹存放附件</w:t>
      </w:r>
    </w:p>
    <w:p>
      <w:pPr/>
      <w:r>
        <w:t xml:space="preserve">流程引擎附件：/opt/application/hse/nginx/workflow/file  该文件夹下，-prod结尾的文件夹为每个租户流程引擎内上传的附件；pdf下是流程表单数据导出的pdf文件；sign下是所有的签名图片；</w:t>
      </w:r>
    </w:p>
    <w:p>
      <w:pPr/>
      <w:r/>
    </w:p>
    <w:p>
      <w:pPr>
        <w:pStyle w:val="dingding-heading2"/>
        <w:spacing w:line="204.70588235294116"/>
      </w:pPr>
      <w:r>
        <w:rPr>
          <w:sz w:val="32"/>
          <w:b w:val="1"/>
        </w:rPr>
        <w:t xml:space="preserve">6.4 安装/升级日志文件</w:t>
      </w:r>
    </w:p>
    <w:p>
      <w:pPr/>
      <w:r>
        <w:t xml:space="preserve">安装日志存储位置：/tmp/install/</w:t>
      </w:r>
    </w:p>
    <w:p>
      <w:pPr/>
      <w:r>
        <w:t xml:space="preserve">升级日志存储位置：/tmp/upgrade/</w:t>
      </w:r>
    </w:p>
    <w:p>
      <w:pPr/>
      <w:r/>
    </w:p>
    <w:p>
      <w:pPr/>
      <w:r/>
    </w:p>
    <w:p>
      <w:pPr>
        <w:pStyle w:val="dingding-heading2"/>
        <w:spacing w:line="204.70588235294116"/>
      </w:pPr>
      <w:r>
        <w:rPr>
          <w:sz w:val="32"/>
          <w:b w:val="1"/>
        </w:rPr>
        <w:t xml:space="preserve">6.5 升级备份文件</w:t>
      </w:r>
    </w:p>
    <w:p>
      <w:pPr>
        <w:ind w:firstLine="480"/>
      </w:pPr>
      <w:r>
        <w:t xml:space="preserve">执行一键升级时，会整个备份上个版本的数据库数据、各项中间件配置、应用的配置，存放在/opt/application/backup/</w:t>
      </w:r>
      <w:r>
        <w:rPr>
          <w:shd w:val="clear" w:color="auto" w:fill="F9DDB2"/>
        </w:rPr>
        <w:t xml:space="preserve">V3.14.0</w:t>
      </w:r>
      <w:r>
        <w:t xml:space="preserve"> 最后面的版本号为上个版本值</w:t>
      </w:r>
    </w:p>
    <w:p>
      <w:pPr/>
      <w:r/>
    </w:p>
    <w:p>
      <w:pPr/>
      <w:r/>
    </w:p>
    <w:p>
      <w:pPr>
        <w:pStyle w:val="dingding-heading1"/>
        <w:spacing w:line="204.70588235294116"/>
      </w:pPr>
      <w:r>
        <w:rPr>
          <w:sz w:val="40"/>
          <w:b w:val="1"/>
        </w:rPr>
        <w:t xml:space="preserve">七 应用与中间件介绍</w:t>
      </w:r>
    </w:p>
    <w:p>
      <w:pPr>
        <w:ind w:firstLine="480"/>
      </w:pPr>
      <w:r>
        <w:t xml:space="preserve">3.x整个平台一共有 20个应用服务，9个中间件服务；系统是运行在docker容器中的，每个应用和中间件都是以docker-compose来编排启动的，所以核心的启动文件是下面docker-compose-*.yml文件，以及.env环境变量配置文件（/opt/application/hse/下）；</w:t>
      </w:r>
    </w:p>
    <w:p>
      <w:pPr/>
      <w:r/>
      <w:r>
        <w:drawing>
          <wp:inline distT="0" distB="0" distL="0" distR="0">
            <wp:extent cx="7115175" cy="5731153"/>
            <wp:effectExtent b="0" l="0" r="0" t="0"/>
            <wp:docPr id="3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/>
                  </pic:blipFill>
                  <pic:spPr>
                    <a:xfrm rot="0">
                      <a:off x="0" y="0"/>
                      <a:ext cx="7115175" cy="573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系统是运行在docker容器中的，每个应用和中间件都是以docker-compose来编排启动的，所以核心的启动文件是上面docker-compose-*.yml文件，以及.env环境变量配置文件；</w:t>
      </w:r>
    </w:p>
    <w:p>
      <w:pPr>
        <w:numPr>
          <w:ilvl w:val="0"/>
          <w:numId w:val="3"/>
        </w:numPr>
      </w:pPr>
      <w:r>
        <w:t xml:space="preserve">docker-compose-autoheal.yml 监控所有应用、中间件的健康状态，以及不健康状态下的重启；</w:t>
      </w:r>
    </w:p>
    <w:p>
      <w:pPr>
        <w:numPr>
          <w:ilvl w:val="0"/>
          <w:numId w:val="3"/>
        </w:numPr>
      </w:pPr>
      <w:r>
        <w:t xml:space="preserve">docker-compose-hse.yml 管理所有的平台应用服务（tiji-开头的微服务）</w:t>
      </w:r>
    </w:p>
    <w:p>
      <w:pPr>
        <w:numPr>
          <w:ilvl w:val="0"/>
          <w:numId w:val="3"/>
        </w:numPr>
      </w:pPr>
      <w:r>
        <w:t xml:space="preserve">docker-compose-influxdb.yml 管理influxdb中间件</w:t>
      </w:r>
    </w:p>
    <w:p>
      <w:pPr>
        <w:numPr>
          <w:ilvl w:val="0"/>
          <w:numId w:val="3"/>
        </w:numPr>
      </w:pPr>
      <w:r>
        <w:t xml:space="preserve">docker-compose-lic.yml 授权服务</w:t>
      </w:r>
    </w:p>
    <w:p>
      <w:pPr>
        <w:numPr>
          <w:ilvl w:val="0"/>
          <w:numId w:val="3"/>
        </w:numPr>
      </w:pPr>
      <w:r>
        <w:t xml:space="preserve">docker-compose-mongodb.yml 管理mongodb中间件</w:t>
      </w:r>
    </w:p>
    <w:p>
      <w:pPr>
        <w:numPr>
          <w:ilvl w:val="0"/>
          <w:numId w:val="3"/>
        </w:numPr>
      </w:pPr>
      <w:r>
        <w:t xml:space="preserve">docker-compose-mysql.yml 管理mysql中间件</w:t>
      </w:r>
    </w:p>
    <w:p>
      <w:pPr>
        <w:numPr>
          <w:ilvl w:val="0"/>
          <w:numId w:val="3"/>
        </w:numPr>
      </w:pPr>
      <w:r>
        <w:t xml:space="preserve">docker-compose-nacos.yml 管理注册/配置中心中间件</w:t>
      </w:r>
    </w:p>
    <w:p>
      <w:pPr>
        <w:numPr>
          <w:ilvl w:val="0"/>
          <w:numId w:val="3"/>
        </w:numPr>
      </w:pPr>
      <w:r>
        <w:t xml:space="preserve">docker-compose-nginx.yml 管理nginx中间件</w:t>
      </w:r>
    </w:p>
    <w:p>
      <w:pPr>
        <w:numPr>
          <w:ilvl w:val="0"/>
          <w:numId w:val="3"/>
        </w:numPr>
      </w:pPr>
      <w:r>
        <w:t xml:space="preserve">docker-compose-redis.yml 管理redis中间件</w:t>
      </w:r>
    </w:p>
    <w:p>
      <w:pPr>
        <w:numPr>
          <w:ilvl w:val="0"/>
          <w:numId w:val="3"/>
        </w:numPr>
      </w:pPr>
      <w:r>
        <w:t xml:space="preserve">docker-compose-rocketmq.yml 管理rocketmq中间件</w:t>
      </w:r>
    </w:p>
    <w:p>
      <w:pPr>
        <w:numPr>
          <w:ilvl w:val="0"/>
          <w:numId w:val="3"/>
        </w:numPr>
      </w:pPr>
      <w:r>
        <w:t xml:space="preserve">docker-compose-srs.yml 管理视频流srs中间件</w:t>
      </w:r>
    </w:p>
    <w:p>
      <w:pPr>
        <w:numPr>
          <w:ilvl w:val="0"/>
          <w:numId w:val="3"/>
        </w:numPr>
      </w:pPr>
      <w:r>
        <w:t xml:space="preserve">docker-compose-network.yml 管理系统所有容器的桥接网络</w:t>
      </w:r>
    </w:p>
    <w:p>
      <w:pPr>
        <w:numPr>
          <w:ilvl w:val="0"/>
          <w:numId w:val="3"/>
        </w:numPr>
      </w:pPr>
      <w:r>
        <w:t xml:space="preserve">.env 文件中有每个应用的版本号，以及JVM设置</w:t>
      </w:r>
    </w:p>
    <w:p>
      <w:pPr/>
      <w:r/>
    </w:p>
    <w:p>
      <w:pPr/>
      <w:r/>
    </w:p>
    <w:p>
      <w:pPr>
        <w:pStyle w:val="dingding-heading2"/>
        <w:spacing w:line="204.70588235294116"/>
      </w:pPr>
      <w:r>
        <w:rPr>
          <w:sz w:val="32"/>
          <w:b w:val="1"/>
        </w:rPr>
        <w:t xml:space="preserve">7.1 应用篇</w:t>
      </w:r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tiji-auth 授权服务</w:t>
      </w:r>
    </w:p>
    <w:p>
      <w:pPr/>
      <w:r>
        <w:t xml:space="preserve">容器名：</w:t>
      </w:r>
      <w:r>
        <w:rPr>
          <w:sz w:val="24"/>
        </w:rPr>
        <w:t xml:space="preserve">tiji-auth</w:t>
      </w:r>
    </w:p>
    <w:p>
      <w:pPr>
        <w:ind/>
      </w:pPr>
      <w:r>
        <w:t xml:space="preserve">端口：8100（内部端口，不开放）</w:t>
      </w:r>
    </w:p>
    <w:p>
      <w:pPr>
        <w:ind/>
      </w:pPr>
      <w:r>
        <w:t xml:space="preserve">日志文件：/opt/application/hse/tiji-logs/tiji-auth/</w:t>
      </w:r>
    </w:p>
    <w:p>
      <w:pPr>
        <w:ind/>
      </w:pPr>
      <w:r>
        <w:t xml:space="preserve">配置文件：nacos中tiji-auth.yaml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tiji-gateway 网关服务</w:t>
      </w:r>
    </w:p>
    <w:p>
      <w:pPr/>
      <w:r>
        <w:t xml:space="preserve">容器名：</w:t>
      </w:r>
      <w:r>
        <w:rPr>
          <w:sz w:val="24"/>
        </w:rPr>
        <w:t xml:space="preserve">tiji-gateway</w:t>
      </w:r>
    </w:p>
    <w:p>
      <w:pPr>
        <w:ind/>
      </w:pPr>
      <w:r>
        <w:t xml:space="preserve">端口：8888（内部端口，不开放）</w:t>
      </w:r>
    </w:p>
    <w:p>
      <w:pPr>
        <w:ind/>
      </w:pPr>
      <w:r>
        <w:t xml:space="preserve">日志文件：/opt/application/hse/tiji-logs/tiji-gateway/</w:t>
      </w:r>
    </w:p>
    <w:p>
      <w:pPr>
        <w:ind/>
      </w:pPr>
      <w:r>
        <w:t xml:space="preserve">配置文件：nacos中tiji-gateway.yaml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tiji-system 系统中心</w:t>
      </w:r>
    </w:p>
    <w:p>
      <w:pPr/>
      <w:r>
        <w:t xml:space="preserve">容器名：</w:t>
      </w:r>
      <w:r>
        <w:rPr>
          <w:sz w:val="24"/>
        </w:rPr>
        <w:t xml:space="preserve">tiji-system</w:t>
      </w:r>
    </w:p>
    <w:p>
      <w:pPr>
        <w:ind/>
      </w:pPr>
      <w:r>
        <w:t xml:space="preserve">端口：8106（内部端口，不开放）</w:t>
      </w:r>
    </w:p>
    <w:p>
      <w:pPr>
        <w:ind/>
      </w:pPr>
      <w:r>
        <w:t xml:space="preserve">日志文件：/opt/application/hse/tiji-logs/tiji-system/</w:t>
      </w:r>
    </w:p>
    <w:p>
      <w:pPr>
        <w:ind/>
      </w:pPr>
      <w:r>
        <w:t xml:space="preserve">配置文件：nacos中tiji-system.yaml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tiji-master-data 主数据服务</w:t>
      </w:r>
    </w:p>
    <w:p>
      <w:pPr/>
      <w:r>
        <w:t xml:space="preserve">容器名：</w:t>
      </w:r>
      <w:r>
        <w:rPr>
          <w:sz w:val="24"/>
        </w:rPr>
        <w:t xml:space="preserve">tiji-master-data</w:t>
      </w:r>
    </w:p>
    <w:p>
      <w:pPr>
        <w:ind/>
      </w:pPr>
      <w:r>
        <w:t xml:space="preserve">端口：8211、8212（内部端口，不开放）</w:t>
      </w:r>
    </w:p>
    <w:p>
      <w:pPr>
        <w:ind/>
      </w:pPr>
      <w:r>
        <w:t xml:space="preserve">日志文件：/opt/application/hse/tiji-logs/tiji-master-data/</w:t>
      </w:r>
    </w:p>
    <w:p>
      <w:pPr>
        <w:ind/>
      </w:pPr>
      <w:r>
        <w:t xml:space="preserve">配置文件：nacos中tiji-master-data.yaml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tiji-message-center 消息中心</w:t>
      </w:r>
    </w:p>
    <w:p>
      <w:pPr/>
      <w:r>
        <w:t xml:space="preserve">容器名：</w:t>
      </w:r>
      <w:r>
        <w:rPr>
          <w:sz w:val="24"/>
        </w:rPr>
        <w:t xml:space="preserve">tiji-message-center</w:t>
      </w:r>
    </w:p>
    <w:p>
      <w:pPr>
        <w:ind/>
      </w:pPr>
      <w:r>
        <w:t xml:space="preserve">端口：8271（内部端口，不开放）</w:t>
      </w:r>
    </w:p>
    <w:p>
      <w:pPr>
        <w:ind/>
      </w:pPr>
      <w:r>
        <w:t xml:space="preserve">日志文件：/opt/application/hse/tiji-logs/tiji-message-center/</w:t>
      </w:r>
    </w:p>
    <w:p>
      <w:pPr>
        <w:ind/>
      </w:pPr>
      <w:r>
        <w:t xml:space="preserve">配置文件：nacos中tiji-message-center.yaml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tiji-resource 文件服务 </w:t>
      </w:r>
    </w:p>
    <w:p>
      <w:pPr/>
      <w:r>
        <w:t xml:space="preserve">容器名：</w:t>
      </w:r>
      <w:r>
        <w:rPr>
          <w:sz w:val="24"/>
        </w:rPr>
        <w:t xml:space="preserve">tiji-resource</w:t>
      </w:r>
    </w:p>
    <w:p>
      <w:pPr>
        <w:ind/>
      </w:pPr>
      <w:r>
        <w:t xml:space="preserve">端口：8251（内部端口，不开放）</w:t>
      </w:r>
    </w:p>
    <w:p>
      <w:pPr>
        <w:ind/>
      </w:pPr>
      <w:r>
        <w:t xml:space="preserve">日志文件：/opt/application/hse/tiji-logs/tiji-resource/</w:t>
      </w:r>
    </w:p>
    <w:p>
      <w:pPr>
        <w:ind/>
      </w:pPr>
      <w:r>
        <w:t xml:space="preserve">配置文件：nacos中tiji-resource.yaml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tiji-monitor-screen 大屏服务 </w:t>
      </w:r>
    </w:p>
    <w:p>
      <w:pPr/>
      <w:r>
        <w:t xml:space="preserve">容器名：</w:t>
      </w:r>
      <w:r>
        <w:rPr>
          <w:sz w:val="24"/>
        </w:rPr>
        <w:t xml:space="preserve">tiji-monitor-screen</w:t>
      </w:r>
    </w:p>
    <w:p>
      <w:pPr>
        <w:ind/>
      </w:pPr>
      <w:r>
        <w:t xml:space="preserve">端口：8261（内部端口，不开放）</w:t>
      </w:r>
    </w:p>
    <w:p>
      <w:pPr>
        <w:ind/>
      </w:pPr>
      <w:r>
        <w:t xml:space="preserve">日志文件：/opt/application/hse/tiji-logs/tiji-monitor-screen/</w:t>
      </w:r>
    </w:p>
    <w:p>
      <w:pPr>
        <w:ind/>
      </w:pPr>
      <w:r>
        <w:t xml:space="preserve">配置文件：nacos中tiji-monitor-screen.yaml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tiji-risk-prevention 双预防服务 </w:t>
      </w:r>
    </w:p>
    <w:p>
      <w:pPr/>
      <w:r>
        <w:t xml:space="preserve">容器名：</w:t>
      </w:r>
      <w:r>
        <w:rPr>
          <w:sz w:val="24"/>
        </w:rPr>
        <w:t xml:space="preserve">tiji-risk-prevention</w:t>
      </w:r>
    </w:p>
    <w:p>
      <w:pPr>
        <w:ind/>
      </w:pPr>
      <w:r>
        <w:t xml:space="preserve">端口：8291（内部端口，不开放）</w:t>
      </w:r>
    </w:p>
    <w:p>
      <w:pPr>
        <w:ind/>
      </w:pPr>
      <w:r>
        <w:t xml:space="preserve">日志文件：/opt/application/hse/tiji-logs/tiji-risk-prevention/</w:t>
      </w:r>
    </w:p>
    <w:p>
      <w:pPr>
        <w:ind/>
      </w:pPr>
      <w:r>
        <w:t xml:space="preserve">配置文件：nacos中tiji-risk-prevention.yaml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tiji-business-process 全流程服务 </w:t>
      </w:r>
    </w:p>
    <w:p>
      <w:pPr/>
      <w:r>
        <w:t xml:space="preserve">容器名：</w:t>
      </w:r>
      <w:r>
        <w:rPr>
          <w:sz w:val="24"/>
        </w:rPr>
        <w:t xml:space="preserve">tiji-business-process</w:t>
      </w:r>
    </w:p>
    <w:p>
      <w:pPr>
        <w:ind/>
      </w:pPr>
      <w:r>
        <w:t xml:space="preserve">端口：8221（内部端口，不开放）</w:t>
      </w:r>
    </w:p>
    <w:p>
      <w:pPr>
        <w:ind/>
      </w:pPr>
      <w:r>
        <w:t xml:space="preserve">日志文件：/opt/application/hse/tiji-logs/tiji-business-process/</w:t>
      </w:r>
    </w:p>
    <w:p>
      <w:pPr>
        <w:ind/>
      </w:pPr>
      <w:r>
        <w:t xml:space="preserve">配置文件：nacos中tiji-business-process.yaml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tiji-education 教育培训服务 </w:t>
      </w:r>
    </w:p>
    <w:p>
      <w:pPr/>
      <w:r>
        <w:t xml:space="preserve">容器名：</w:t>
      </w:r>
      <w:r>
        <w:rPr>
          <w:sz w:val="24"/>
        </w:rPr>
        <w:t xml:space="preserve">tiji-education</w:t>
      </w:r>
    </w:p>
    <w:p>
      <w:pPr>
        <w:ind/>
      </w:pPr>
      <w:r>
        <w:t xml:space="preserve">端口：8301（内部端口，不开放）</w:t>
      </w:r>
    </w:p>
    <w:p>
      <w:pPr>
        <w:ind/>
      </w:pPr>
      <w:r>
        <w:t xml:space="preserve">日志文件：/opt/application/hse/tiji-logs/tiji-education/</w:t>
      </w:r>
    </w:p>
    <w:p>
      <w:pPr>
        <w:ind/>
      </w:pPr>
      <w:r>
        <w:t xml:space="preserve">配置文件：nacos中tiji-education.yaml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tiji-location-middleware 定位服务 </w:t>
      </w:r>
    </w:p>
    <w:p>
      <w:pPr/>
      <w:r>
        <w:t xml:space="preserve">容器名：</w:t>
      </w:r>
      <w:r>
        <w:rPr>
          <w:sz w:val="24"/>
        </w:rPr>
        <w:t xml:space="preserve">tiji-location-middleware</w:t>
      </w:r>
    </w:p>
    <w:p>
      <w:pPr>
        <w:ind/>
      </w:pPr>
      <w:r>
        <w:t xml:space="preserve">端口：8311（内部端口，不开放）</w:t>
      </w:r>
    </w:p>
    <w:p>
      <w:pPr>
        <w:ind/>
      </w:pPr>
      <w:r>
        <w:t xml:space="preserve">日志文件：/opt/application/hse/tiji-logs/tiji-location-middleware/</w:t>
      </w:r>
    </w:p>
    <w:p>
      <w:pPr>
        <w:ind/>
      </w:pPr>
      <w:r>
        <w:t xml:space="preserve">配置文件：nacos中tiji-location-middleware.yaml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tiji-immersion-management 封闭管理服务 </w:t>
      </w:r>
    </w:p>
    <w:p>
      <w:pPr/>
      <w:r>
        <w:t xml:space="preserve">容器名：</w:t>
      </w:r>
      <w:r>
        <w:rPr>
          <w:sz w:val="24"/>
        </w:rPr>
        <w:t xml:space="preserve">tiji-immersion-management</w:t>
      </w:r>
    </w:p>
    <w:p>
      <w:pPr>
        <w:ind/>
      </w:pPr>
      <w:r>
        <w:t xml:space="preserve">端口：8321（内部端口，不开放）</w:t>
      </w:r>
    </w:p>
    <w:p>
      <w:pPr>
        <w:ind/>
      </w:pPr>
      <w:r>
        <w:t xml:space="preserve">日志文件：/opt/application/hse/tiji-logs/tiji-immersion-management/</w:t>
      </w:r>
    </w:p>
    <w:p>
      <w:pPr>
        <w:ind/>
      </w:pPr>
      <w:r>
        <w:t xml:space="preserve">配置文件：nacos中tiji-immersion-management.yaml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tiji-performance 绩效服务 </w:t>
      </w:r>
    </w:p>
    <w:p>
      <w:pPr/>
      <w:r>
        <w:t xml:space="preserve">容器名：</w:t>
      </w:r>
      <w:r>
        <w:rPr>
          <w:sz w:val="24"/>
        </w:rPr>
        <w:t xml:space="preserve">tiji-performance</w:t>
      </w:r>
    </w:p>
    <w:p>
      <w:pPr>
        <w:ind/>
      </w:pPr>
      <w:r>
        <w:t xml:space="preserve">端口：8311（内部端口，不开放）</w:t>
      </w:r>
    </w:p>
    <w:p>
      <w:pPr>
        <w:ind/>
      </w:pPr>
      <w:r>
        <w:t xml:space="preserve">日志文件：/opt/application/hse/tiji-logs/tiji-performance/</w:t>
      </w:r>
    </w:p>
    <w:p>
      <w:pPr>
        <w:ind/>
      </w:pPr>
      <w:r>
        <w:t xml:space="preserve">配置文件：nacos中tiji-performance.yaml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tiji-group 集团服务 </w:t>
      </w:r>
    </w:p>
    <w:p>
      <w:pPr/>
      <w:r>
        <w:t xml:space="preserve">容器名：</w:t>
      </w:r>
      <w:r>
        <w:rPr>
          <w:sz w:val="24"/>
        </w:rPr>
        <w:t xml:space="preserve">tiji-group</w:t>
      </w:r>
    </w:p>
    <w:p>
      <w:pPr>
        <w:ind/>
      </w:pPr>
      <w:r>
        <w:t xml:space="preserve">端口：8341（内部端口，不开放）</w:t>
      </w:r>
    </w:p>
    <w:p>
      <w:pPr>
        <w:ind/>
      </w:pPr>
      <w:r>
        <w:t xml:space="preserve">日志文件：/opt/application/hse/tiji-logs/tiji-group/</w:t>
      </w:r>
    </w:p>
    <w:p>
      <w:pPr>
        <w:ind/>
      </w:pPr>
      <w:r>
        <w:t xml:space="preserve">配置文件：nacos中tiji-group.yaml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tiji-data-integrating 数据对接服务 </w:t>
      </w:r>
    </w:p>
    <w:p>
      <w:pPr/>
      <w:r>
        <w:t xml:space="preserve">容器名：</w:t>
      </w:r>
      <w:r>
        <w:rPr>
          <w:sz w:val="24"/>
        </w:rPr>
        <w:t xml:space="preserve">tiji-data-integrating</w:t>
      </w:r>
    </w:p>
    <w:p>
      <w:pPr>
        <w:ind/>
      </w:pPr>
      <w:r>
        <w:t xml:space="preserve">端口：8281（内部端口，不开放）</w:t>
      </w:r>
    </w:p>
    <w:p>
      <w:pPr>
        <w:ind/>
      </w:pPr>
      <w:r>
        <w:t xml:space="preserve">日志文件：/opt/application/hse/tiji-logs/tiji-data-integrating/</w:t>
      </w:r>
    </w:p>
    <w:p>
      <w:pPr>
        <w:ind/>
      </w:pPr>
      <w:r>
        <w:t xml:space="preserve">配置文件：nacos中tiji-data-integrating.yaml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tiji-workflow 流程引擎 </w:t>
      </w:r>
    </w:p>
    <w:p>
      <w:pPr/>
      <w:r>
        <w:t xml:space="preserve">容器名：tiji-workflow</w:t>
      </w:r>
    </w:p>
    <w:p>
      <w:pPr>
        <w:ind/>
      </w:pPr>
      <w:r>
        <w:t xml:space="preserve">端口：8202（内部端口，不开放）</w:t>
      </w:r>
    </w:p>
    <w:p>
      <w:pPr>
        <w:ind/>
      </w:pPr>
      <w:r>
        <w:t xml:space="preserve">日志文件：/opt/application/hse/workflow/logs/</w:t>
      </w:r>
    </w:p>
    <w:p>
      <w:pPr>
        <w:ind/>
      </w:pPr>
      <w:r>
        <w:t xml:space="preserve">配置文件：/opt/application/hse/workflow/conf/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tiji-cdc 数据感知服务</w:t>
      </w:r>
    </w:p>
    <w:p>
      <w:pPr/>
      <w:r>
        <w:t xml:space="preserve">容器名：tiji-cdc</w:t>
      </w:r>
    </w:p>
    <w:p>
      <w:pPr>
        <w:ind/>
      </w:pPr>
      <w:r>
        <w:t xml:space="preserve">端口：8111（内部端口，不开放）</w:t>
      </w:r>
    </w:p>
    <w:p>
      <w:pPr>
        <w:ind/>
      </w:pPr>
      <w:r>
        <w:t xml:space="preserve">日志文件：/opt/application/hse/tiji-logs/tiji-cdc/</w:t>
      </w:r>
    </w:p>
    <w:p>
      <w:pPr>
        <w:ind/>
      </w:pPr>
      <w:r>
        <w:t xml:space="preserve">配置文件：/opt/application/hse/cdc/tiji-cdc-conf/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tiji-fileview 预览服务</w:t>
      </w:r>
    </w:p>
    <w:p>
      <w:pPr/>
      <w:r>
        <w:t xml:space="preserve">容器名：tiji-fileview</w:t>
      </w:r>
    </w:p>
    <w:p>
      <w:pPr>
        <w:ind/>
      </w:pPr>
      <w:r>
        <w:t xml:space="preserve">端口：8012（内部端口，不开放）</w:t>
      </w:r>
    </w:p>
    <w:p>
      <w:pPr>
        <w:ind/>
      </w:pPr>
      <w:r>
        <w:t xml:space="preserve">日志文件：未挂载日志文件，可直接使用docker logs -fn 200 tiji-fileview 命令来看日志</w:t>
      </w:r>
    </w:p>
    <w:p>
      <w:pPr>
        <w:ind/>
      </w:pPr>
      <w:r>
        <w:t xml:space="preserve">配置文件：/opt/application/hse/tiji-fileview-convert-conf/</w:t>
      </w:r>
    </w:p>
    <w:p>
      <w:pPr>
        <w:ind/>
      </w:pPr>
      <w:r>
        <w:t xml:space="preserve">已转码附件存储位置：/opt/application/hse/tiji-fileview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tiji-xxl-job 调度服务 </w:t>
      </w:r>
    </w:p>
    <w:p>
      <w:pPr/>
      <w:r>
        <w:t xml:space="preserve">容器名：tiji-xxl-job</w:t>
      </w:r>
    </w:p>
    <w:p>
      <w:pPr>
        <w:ind/>
      </w:pPr>
      <w:r>
        <w:t xml:space="preserve">端口：8351（默认内网该端口防火墙是放开的）</w:t>
      </w:r>
    </w:p>
    <w:p>
      <w:pPr>
        <w:ind/>
      </w:pPr>
      <w:r>
        <w:t xml:space="preserve">日志：tiji-xxl-job本身没有日志文件，应用执行定时任务的日志文件存储于 /opt/application/hse/xxl-job-log/，如果想要看tiji-xxl-job的日志可直接使用docker logs -fn 200 tiji-xxl-job命令来看日志</w:t>
      </w:r>
    </w:p>
    <w:p>
      <w:pPr>
        <w:ind/>
      </w:pPr>
      <w:r>
        <w:t xml:space="preserve">配置文件：无</w:t>
      </w:r>
    </w:p>
    <w:p>
      <w:pPr>
        <w:ind/>
      </w:pPr>
      <w:r>
        <w:t xml:space="preserve">tiji-xxl-job访问地址：</w:t>
      </w:r>
      <w:r>
        <w:rPr>
          <w:color w:val="04B0F1"/>
          <w:u w:val="single"/>
        </w:rPr>
        <w:t xml:space="preserve">http://ip:8351/xxl-job/</w:t>
      </w:r>
      <w:r>
        <w:rPr>
          <w:color w:val="04B0F1"/>
          <w:u w:val="single"/>
        </w:rPr>
        <w:t xml:space="preserve"> </w:t>
      </w:r>
      <w:r>
        <w:t xml:space="preserve">  用户名密码：admin/Joysuch@Locate2022</w:t>
      </w:r>
    </w:p>
    <w:p>
      <w:pPr>
        <w:ind/>
      </w:pPr>
      <w:r>
        <w:t xml:space="preserve">该地址可以用来排查定时任务问题，手动执行定时任务（</w:t>
      </w:r>
      <w:r>
        <w:rPr>
          <w:color w:val="FE0300"/>
        </w:rPr>
        <w:t xml:space="preserve">不可随意执行，因为有些定时任务不能重复执行</w:t>
      </w:r>
      <w:r>
        <w:t xml:space="preserve">），查看定时任务执行情况等；</w:t>
      </w:r>
    </w:p>
    <w:p>
      <w:pPr>
        <w:ind/>
      </w:pPr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tiji-license-agent license授权服务 </w:t>
      </w:r>
    </w:p>
    <w:p>
      <w:pPr/>
      <w:r>
        <w:t xml:space="preserve">容器名：tiji-lic</w:t>
      </w:r>
    </w:p>
    <w:p>
      <w:pPr>
        <w:ind/>
      </w:pPr>
      <w:r>
        <w:t xml:space="preserve">端口：30001</w:t>
      </w:r>
    </w:p>
    <w:p>
      <w:pPr>
        <w:ind/>
      </w:pPr>
      <w:r>
        <w:t xml:space="preserve">日志：docker logs -fn 200 tiji-lic命令来看日志</w:t>
      </w:r>
    </w:p>
    <w:p>
      <w:pPr>
        <w:ind/>
      </w:pPr>
      <w:r>
        <w:t xml:space="preserve">配置文件：无</w:t>
      </w:r>
    </w:p>
    <w:p>
      <w:pPr>
        <w:ind/>
      </w:pPr>
      <w:r/>
    </w:p>
    <w:p>
      <w:pPr/>
      <w:r/>
    </w:p>
    <w:p>
      <w:pPr/>
      <w:r/>
    </w:p>
    <w:p>
      <w:pPr>
        <w:pStyle w:val="dingding-heading2"/>
        <w:spacing w:line="204.70588235294116"/>
      </w:pPr>
      <w:r>
        <w:rPr>
          <w:sz w:val="32"/>
          <w:b w:val="1"/>
        </w:rPr>
        <w:t xml:space="preserve">7.2 中间件篇</w:t>
      </w:r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MySQL</w:t>
      </w:r>
    </w:p>
    <w:p>
      <w:pPr/>
      <w:r>
        <w:rPr>
          <w:b w:val="1"/>
        </w:rPr>
        <w:t xml:space="preserve">容器名</w:t>
      </w:r>
      <w:r>
        <w:t xml:space="preserve">：mysql</w:t>
      </w:r>
    </w:p>
    <w:p>
      <w:pPr/>
      <w:r>
        <w:rPr>
          <w:b w:val="1"/>
        </w:rPr>
        <w:t xml:space="preserve">端口</w:t>
      </w:r>
      <w:r>
        <w:t xml:space="preserve">：3306（防火墙已添加）</w:t>
      </w:r>
    </w:p>
    <w:p>
      <w:pPr/>
      <w:r>
        <w:rPr>
          <w:b w:val="1"/>
        </w:rPr>
        <w:t xml:space="preserve">常用的用户名密码</w:t>
      </w:r>
      <w:r>
        <w:t xml:space="preserve">：</w:t>
      </w:r>
    </w:p>
    <w:p>
      <w:pPr>
        <w:ind w:firstLine="480"/>
      </w:pPr>
      <w:r>
        <w:t xml:space="preserve">root/_fs&amp;dX@8OOmm</w:t>
      </w:r>
    </w:p>
    <w:p>
      <w:pPr>
        <w:ind w:firstLine="480"/>
      </w:pPr>
      <w:r>
        <w:t xml:space="preserve">tiji/C05d3~!FPLzu</w:t>
      </w:r>
    </w:p>
    <w:p>
      <w:pPr/>
      <w:r>
        <w:rPr>
          <w:b w:val="1"/>
        </w:rPr>
        <w:t xml:space="preserve">日志</w:t>
      </w:r>
      <w:r>
        <w:t xml:space="preserve">：未单独挂载，可使用docker logs命令来查看</w:t>
      </w:r>
    </w:p>
    <w:p>
      <w:pPr/>
      <w:r>
        <w:rPr>
          <w:b w:val="1"/>
        </w:rPr>
        <w:t xml:space="preserve">配置</w:t>
      </w:r>
      <w:r>
        <w:t xml:space="preserve">：/opt/application/hse/mysql/conf.d和/opt/application/hse/mysql/mysql.conf.d</w:t>
      </w:r>
    </w:p>
    <w:p>
      <w:pPr/>
      <w:r>
        <w:rPr>
          <w:b w:val="1"/>
        </w:rPr>
        <w:t xml:space="preserve">数据</w:t>
      </w:r>
      <w:r>
        <w:t xml:space="preserve">：/opt/application/hse/mysql/data</w:t>
      </w:r>
    </w:p>
    <w:p>
      <w:pPr/>
      <w:r>
        <w:rPr>
          <w:b w:val="1"/>
        </w:rPr>
        <w:t xml:space="preserve">服务器上直连</w:t>
      </w:r>
      <w:r>
        <w:t xml:space="preserve">：mysql -h127.0.0.1 -uroot -p"_fs&amp;dX@8OOmm"</w:t>
      </w:r>
    </w:p>
    <w:p>
      <w:pPr/>
      <w:r>
        <w:rPr>
          <w:b w:val="1"/>
        </w:rPr>
        <w:t xml:space="preserve">进容器再连接</w:t>
      </w:r>
      <w:r>
        <w:t xml:space="preserve">：</w:t>
      </w:r>
    </w:p>
    <w:p>
      <w:pPr>
        <w:ind w:firstLine="480"/>
      </w:pPr>
      <w:r>
        <w:t xml:space="preserve">1、docker exec -it mysql sh</w:t>
      </w:r>
    </w:p>
    <w:p>
      <w:pPr>
        <w:ind w:firstLine="480"/>
      </w:pPr>
      <w:r>
        <w:t xml:space="preserve">2、mysql -h127.0.0.1 -uroot -p"_fs&amp;dX@8OOmm"</w:t>
      </w:r>
    </w:p>
    <w:p>
      <w:pPr>
        <w:ind w:firstLine="480"/>
      </w:pPr>
      <w:r>
        <w:t xml:space="preserve">整合成一行即：docker exec -it mysql mysql -h127.0.0.1 -uroot -p"_fs&amp;dX@8OOmm"</w:t>
      </w:r>
    </w:p>
    <w:p>
      <w:pPr/>
      <w:r/>
    </w:p>
    <w:p>
      <w:pPr/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MongoDB</w:t>
      </w:r>
    </w:p>
    <w:p>
      <w:pPr/>
      <w:r>
        <w:rPr>
          <w:b w:val="1"/>
        </w:rPr>
        <w:t xml:space="preserve">容器名</w:t>
      </w:r>
      <w:r>
        <w:t xml:space="preserve">：mongodb</w:t>
      </w:r>
    </w:p>
    <w:p>
      <w:pPr/>
      <w:r>
        <w:rPr>
          <w:b w:val="1"/>
        </w:rPr>
        <w:t xml:space="preserve">端口</w:t>
      </w:r>
      <w:r>
        <w:t xml:space="preserve">：27017（防火墙已添加）</w:t>
      </w:r>
    </w:p>
    <w:p>
      <w:pPr/>
      <w:r>
        <w:rPr>
          <w:b w:val="1"/>
        </w:rPr>
        <w:t xml:space="preserve">常用的用户名密码</w:t>
      </w:r>
      <w:r>
        <w:t xml:space="preserve">：</w:t>
      </w:r>
    </w:p>
    <w:p>
      <w:pPr>
        <w:ind w:firstLine="480"/>
      </w:pPr>
      <w:r>
        <w:t xml:space="preserve">库：admin    用户名密码：admin/Seekcy@2020</w:t>
      </w:r>
    </w:p>
    <w:p>
      <w:pPr>
        <w:ind w:firstLine="480"/>
      </w:pPr>
      <w:r>
        <w:t xml:space="preserve">库：tiji_location_middleware    用户名密码：tiji_location_middleware/seekcyLocation_2022</w:t>
      </w:r>
    </w:p>
    <w:p>
      <w:pPr>
        <w:ind w:firstLine="480"/>
      </w:pPr>
      <w:r>
        <w:t xml:space="preserve">库：tiji_message_center    用户名密码：tiji_message_center/seekcyLocation_2022</w:t>
      </w:r>
    </w:p>
    <w:p>
      <w:pPr/>
      <w:r>
        <w:rPr>
          <w:b w:val="1"/>
        </w:rPr>
        <w:t xml:space="preserve">日志</w:t>
      </w:r>
      <w:r>
        <w:t xml:space="preserve">：/opt/application/hse/mongodb/log （默认保留15天）</w:t>
      </w:r>
    </w:p>
    <w:p>
      <w:pPr/>
      <w:r>
        <w:rPr>
          <w:b w:val="1"/>
        </w:rPr>
        <w:t xml:space="preserve">配置</w:t>
      </w:r>
      <w:r>
        <w:t xml:space="preserve">：/opt/application/hse/mongodb/conf/mongod.conf</w:t>
      </w:r>
    </w:p>
    <w:p>
      <w:pPr/>
      <w:r>
        <w:rPr>
          <w:b w:val="1"/>
        </w:rPr>
        <w:t xml:space="preserve">数据</w:t>
      </w:r>
      <w:r>
        <w:t xml:space="preserve">：/opt/application/hse/mongodb/db/</w:t>
      </w:r>
    </w:p>
    <w:p>
      <w:pPr/>
      <w:r>
        <w:rPr>
          <w:b w:val="1"/>
        </w:rPr>
        <w:t xml:space="preserve">连接进mongodb：</w:t>
      </w:r>
    </w:p>
    <w:p>
      <w:pPr>
        <w:ind w:firstLine="480"/>
      </w:pPr>
      <w:r>
        <w:t xml:space="preserve">1、docker exec -it mongodb sh</w:t>
      </w:r>
    </w:p>
    <w:p>
      <w:pPr>
        <w:ind w:firstLine="480"/>
      </w:pPr>
      <w:r>
        <w:t xml:space="preserve">2、mongo</w:t>
      </w:r>
    </w:p>
    <w:p>
      <w:pPr>
        <w:ind w:firstLine="480"/>
      </w:pPr>
      <w:r>
        <w:t xml:space="preserve">3、use tiji_location_middleware;</w:t>
      </w:r>
    </w:p>
    <w:p>
      <w:pPr>
        <w:ind w:firstLine="480"/>
      </w:pPr>
      <w:r>
        <w:t xml:space="preserve">4、db.auth("tiji_location_middleware", "seekcyLocation_2022");</w:t>
      </w:r>
    </w:p>
    <w:p>
      <w:pPr/>
      <w:r/>
    </w:p>
    <w:p>
      <w:pPr/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InfluxDB</w:t>
      </w:r>
    </w:p>
    <w:p>
      <w:pPr/>
      <w:r>
        <w:rPr>
          <w:b w:val="1"/>
        </w:rPr>
        <w:t xml:space="preserve">容器名</w:t>
      </w:r>
      <w:r>
        <w:t xml:space="preserve">：influxdb</w:t>
      </w:r>
    </w:p>
    <w:p>
      <w:pPr/>
      <w:r>
        <w:rPr>
          <w:b w:val="1"/>
        </w:rPr>
        <w:t xml:space="preserve">端口</w:t>
      </w:r>
      <w:r>
        <w:t xml:space="preserve">：8086（防火墙未开放）</w:t>
      </w:r>
    </w:p>
    <w:p>
      <w:pPr/>
      <w:r>
        <w:rPr>
          <w:b w:val="1"/>
        </w:rPr>
        <w:t xml:space="preserve">常用的用户名密码</w:t>
      </w:r>
      <w:r>
        <w:t xml:space="preserve">：</w:t>
      </w:r>
    </w:p>
    <w:p>
      <w:pPr>
        <w:ind w:firstLine="480"/>
      </w:pPr>
      <w:r>
        <w:t xml:space="preserve">admin密码：SeekcyWWYTInflux</w:t>
      </w:r>
    </w:p>
    <w:p>
      <w:pPr>
        <w:ind w:firstLine="480"/>
      </w:pPr>
      <w:r>
        <w:t xml:space="preserve">库：major_hazard_monitor_point_data    用户名密码：tiji/seekcyLocation_2022</w:t>
      </w:r>
    </w:p>
    <w:p>
      <w:pPr>
        <w:ind w:firstLine="480"/>
      </w:pPr>
      <w:r>
        <w:t xml:space="preserve">保留策略：两个月</w:t>
      </w:r>
    </w:p>
    <w:p>
      <w:pPr/>
      <w:r>
        <w:rPr>
          <w:b w:val="1"/>
        </w:rPr>
        <w:t xml:space="preserve">日志</w:t>
      </w:r>
      <w:r>
        <w:t xml:space="preserve">：未挂载，基本上用不到该中间件的日志，想看可以用docker logs 来看</w:t>
      </w:r>
    </w:p>
    <w:p>
      <w:pPr/>
      <w:r>
        <w:rPr>
          <w:b w:val="1"/>
        </w:rPr>
        <w:t xml:space="preserve">配置</w:t>
      </w:r>
      <w:r>
        <w:t xml:space="preserve">：/opt/application/hse/influxdb/config/influxdb.conf</w:t>
      </w:r>
    </w:p>
    <w:p>
      <w:pPr/>
      <w:r>
        <w:rPr>
          <w:b w:val="1"/>
        </w:rPr>
        <w:t xml:space="preserve">数据</w:t>
      </w:r>
      <w:r>
        <w:t xml:space="preserve">：/opt/application/hse/influxdb/data</w:t>
      </w:r>
    </w:p>
    <w:p>
      <w:pPr/>
      <w:r>
        <w:rPr>
          <w:b w:val="1"/>
        </w:rPr>
      </w:r>
    </w:p>
    <w:p>
      <w:pPr/>
      <w:r>
        <w:rPr>
          <w:b w:val="1"/>
        </w:rPr>
      </w:r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Nacos</w:t>
      </w:r>
    </w:p>
    <w:p>
      <w:pPr/>
      <w:r>
        <w:t xml:space="preserve">3x的配置中心兼注册中心；</w:t>
      </w:r>
    </w:p>
    <w:p>
      <w:pPr/>
      <w:r>
        <w:rPr>
          <w:b w:val="1"/>
        </w:rPr>
        <w:t xml:space="preserve">容器名</w:t>
      </w:r>
      <w:r>
        <w:t xml:space="preserve">：nacos</w:t>
      </w:r>
    </w:p>
    <w:p>
      <w:pPr/>
      <w:r>
        <w:rPr>
          <w:b w:val="1"/>
        </w:rPr>
        <w:t xml:space="preserve">端口</w:t>
      </w:r>
      <w:r>
        <w:t xml:space="preserve">：8848（防火墙已添加）</w:t>
      </w:r>
    </w:p>
    <w:p>
      <w:pPr/>
      <w:r>
        <w:rPr>
          <w:b w:val="1"/>
        </w:rPr>
        <w:t xml:space="preserve">用户名密码</w:t>
      </w:r>
      <w:r>
        <w:t xml:space="preserve">：nacos/DnZj0qj0Kp4cbAVK</w:t>
      </w:r>
    </w:p>
    <w:p>
      <w:pPr/>
      <w:r>
        <w:rPr>
          <w:b w:val="1"/>
        </w:rPr>
        <w:t xml:space="preserve">日志</w:t>
      </w:r>
      <w:r>
        <w:t xml:space="preserve">：未挂载，基本上用不到该中间件的日志，想看可以用docker logs 来看</w:t>
      </w:r>
    </w:p>
    <w:p>
      <w:pPr/>
      <w:r>
        <w:rPr>
          <w:b w:val="1"/>
        </w:rPr>
        <w:t xml:space="preserve">配置</w:t>
      </w:r>
      <w:r>
        <w:t xml:space="preserve">：/opt/application/hse/nacos/conf/application.properties</w:t>
      </w:r>
    </w:p>
    <w:p>
      <w:pPr/>
      <w:r>
        <w:rPr>
          <w:b w:val="1"/>
        </w:rPr>
        <w:t xml:space="preserve">数据</w:t>
      </w:r>
      <w:r>
        <w:t xml:space="preserve">：存在MySQL数据库中，库名：nacos</w:t>
      </w:r>
    </w:p>
    <w:p>
      <w:pPr/>
      <w:r>
        <w:rPr>
          <w:b w:val="1"/>
        </w:rPr>
      </w:r>
    </w:p>
    <w:p>
      <w:pPr/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Redis</w:t>
      </w:r>
    </w:p>
    <w:p>
      <w:pPr/>
      <w:r>
        <w:rPr>
          <w:b w:val="1"/>
        </w:rPr>
        <w:t xml:space="preserve">容器名</w:t>
      </w:r>
      <w:r>
        <w:t xml:space="preserve">：redis</w:t>
      </w:r>
    </w:p>
    <w:p>
      <w:pPr/>
      <w:r>
        <w:rPr>
          <w:b w:val="1"/>
        </w:rPr>
        <w:t xml:space="preserve">端口</w:t>
      </w:r>
      <w:r>
        <w:t xml:space="preserve">：6379（防火墙已添加）</w:t>
      </w:r>
    </w:p>
    <w:p>
      <w:pPr/>
      <w:r>
        <w:rPr>
          <w:b w:val="1"/>
        </w:rPr>
        <w:t xml:space="preserve">授权密码</w:t>
      </w:r>
      <w:r>
        <w:t xml:space="preserve">：DrdGFT0Ib8duVKe</w:t>
      </w:r>
    </w:p>
    <w:p>
      <w:pPr/>
      <w:r>
        <w:rPr>
          <w:b w:val="1"/>
        </w:rPr>
        <w:t xml:space="preserve">日志</w:t>
      </w:r>
      <w:r>
        <w:t xml:space="preserve">：未挂载，基本上用不到该中间件的日志，想看可以用docker logs 来看</w:t>
      </w:r>
    </w:p>
    <w:p>
      <w:pPr/>
      <w:r>
        <w:rPr>
          <w:b w:val="1"/>
        </w:rPr>
        <w:t xml:space="preserve">配置</w:t>
      </w:r>
      <w:r>
        <w:t xml:space="preserve">：/opt/application/hse/redis/redis.conf</w:t>
      </w:r>
    </w:p>
    <w:p>
      <w:pPr/>
      <w:r>
        <w:rPr>
          <w:b w:val="1"/>
        </w:rPr>
        <w:t xml:space="preserve">数据</w:t>
      </w:r>
      <w:r>
        <w:t xml:space="preserve">：/opt/application/hse/redis/data</w:t>
      </w:r>
    </w:p>
    <w:p>
      <w:pPr/>
      <w:r/>
    </w:p>
    <w:p>
      <w:pPr/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RocketMQ</w:t>
      </w:r>
    </w:p>
    <w:p>
      <w:pPr/>
      <w:r>
        <w:rPr>
          <w:b w:val="1"/>
        </w:rPr>
        <w:t xml:space="preserve">容器名</w:t>
      </w:r>
      <w:r>
        <w:t xml:space="preserve">：rktmqnamesrv、rktmqbroker</w:t>
      </w:r>
    </w:p>
    <w:p>
      <w:pPr/>
      <w:r>
        <w:rPr>
          <w:b w:val="1"/>
        </w:rPr>
        <w:t xml:space="preserve">端口</w:t>
      </w:r>
      <w:r>
        <w:t xml:space="preserve">：nameserver-9876，broker-10911（仅限内部使用，端口未开放）</w:t>
      </w:r>
    </w:p>
    <w:p>
      <w:pPr/>
      <w:r>
        <w:rPr>
          <w:b w:val="1"/>
        </w:rPr>
        <w:t xml:space="preserve">授权密码</w:t>
      </w:r>
      <w:r>
        <w:t xml:space="preserve">：DrdGFT0Ib8duVKe</w:t>
      </w:r>
    </w:p>
    <w:p>
      <w:pPr/>
      <w:r>
        <w:rPr>
          <w:b w:val="1"/>
        </w:rPr>
        <w:t xml:space="preserve">日志</w:t>
      </w:r>
      <w:r>
        <w:t xml:space="preserve">：/opt/application/hse/rocketmq/namesrv/logs；/opt/application/hse/rocketmq/broker/logs；</w:t>
      </w:r>
    </w:p>
    <w:p>
      <w:pPr/>
      <w:r>
        <w:rPr>
          <w:b w:val="1"/>
        </w:rPr>
        <w:t xml:space="preserve">配置</w:t>
      </w:r>
      <w:r>
        <w:t xml:space="preserve">：/opt/application/hse/rocketmq/broker/broker.conf</w:t>
      </w:r>
    </w:p>
    <w:p>
      <w:pPr/>
      <w:r>
        <w:rPr>
          <w:b w:val="1"/>
        </w:rPr>
        <w:t xml:space="preserve">数据</w:t>
      </w:r>
      <w:r>
        <w:t xml:space="preserve">：/opt/application/hse/rocketmq/namesrv/store；/opt/application/hse/rocketmq/broker/store；</w:t>
      </w:r>
    </w:p>
    <w:p>
      <w:pPr/>
      <w:r>
        <w:rPr>
          <w:sz w:val="22"/>
        </w:rPr>
        <w:t xml:space="preserve">默认不运行rocketmq dashboard，如果想要排查，请先确保服务器剩余内存至少大于2G，然后编辑/opt/application/hse/docker-compose-rocketmq.yml文件，将最后一段注释放开，切记第一行中文注释继续保留，下面每一行只要删除第一个#字符即可，然后保存退出；再执行hsectl start命令，静等1分钟，即可使用</w:t>
      </w:r>
      <w:r>
        <w:rPr>
          <w:sz w:val="22"/>
          <w:color w:val="3076B6"/>
          <w:b w:val="1"/>
          <w:u w:val="single"/>
        </w:rPr>
        <w:t xml:space="preserve">http://ip:30809/</w:t>
      </w:r>
      <w:r>
        <w:rPr>
          <w:sz w:val="22"/>
          <w:color w:val="04B0F1"/>
          <w:u w:val="single"/>
        </w:rPr>
        <w:t xml:space="preserve"> </w:t>
      </w:r>
      <w:r>
        <w:rPr>
          <w:sz w:val="22"/>
        </w:rPr>
        <w:t xml:space="preserve">来访问mq dashboard；排查问题结束后，请将注释还原回去，再执行docker stop</w:t>
      </w:r>
      <w:r>
        <w:rPr>
          <w:sz w:val="22"/>
        </w:rPr>
        <w:t xml:space="preserve"> rktmqdashboard &amp;&amp; docker rm rktmqdashboard 这一行命令，将dashboard停掉。</w:t>
      </w:r>
    </w:p>
    <w:p>
      <w:pPr/>
      <w:r/>
    </w:p>
    <w:p>
      <w:pPr/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SRS</w:t>
      </w:r>
    </w:p>
    <w:p>
      <w:pPr/>
      <w:r>
        <w:rPr>
          <w:b w:val="1"/>
        </w:rPr>
        <w:t xml:space="preserve">容器名</w:t>
      </w:r>
      <w:r>
        <w:t xml:space="preserve">：srs</w:t>
      </w:r>
    </w:p>
    <w:p>
      <w:pPr/>
      <w:r>
        <w:rPr>
          <w:b w:val="1"/>
        </w:rPr>
        <w:t xml:space="preserve">端口</w:t>
      </w:r>
      <w:r>
        <w:t xml:space="preserve">：19350、8101、1985（防火墙已添加）</w:t>
      </w:r>
    </w:p>
    <w:p>
      <w:pPr/>
      <w:r>
        <w:rPr>
          <w:b w:val="1"/>
        </w:rPr>
        <w:t xml:space="preserve">日志</w:t>
      </w:r>
      <w:r>
        <w:t xml:space="preserve">：未挂载，基本上用不到该中间件的日志，想看可以用docker logs 来看</w:t>
      </w:r>
    </w:p>
    <w:p>
      <w:pPr/>
      <w:r>
        <w:rPr>
          <w:b w:val="1"/>
        </w:rPr>
        <w:t xml:space="preserve">配置</w:t>
      </w:r>
      <w:r>
        <w:t xml:space="preserve">：/opt/application/hse/srs/conf</w:t>
      </w:r>
    </w:p>
    <w:p>
      <w:pPr/>
      <w:r/>
    </w:p>
    <w:p>
      <w:pPr/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Nginx</w:t>
      </w:r>
    </w:p>
    <w:p>
      <w:pPr/>
      <w:r>
        <w:rPr>
          <w:b w:val="1"/>
        </w:rPr>
        <w:t xml:space="preserve">容器名</w:t>
      </w:r>
      <w:r>
        <w:t xml:space="preserve">：nginx</w:t>
      </w:r>
    </w:p>
    <w:p>
      <w:pPr/>
      <w:r>
        <w:rPr>
          <w:b w:val="1"/>
        </w:rPr>
        <w:t xml:space="preserve">端口</w:t>
      </w:r>
      <w:r>
        <w:t xml:space="preserve">：80，9550，443，8443，18443，18444，8886，20001，20002，30000（防火墙已添加），一般只使用其中的</w:t>
      </w:r>
      <w:r>
        <w:rPr>
          <w:color w:val="FE0300"/>
          <w:b w:val="1"/>
        </w:rPr>
        <w:t xml:space="preserve">80或者9550</w:t>
      </w:r>
      <w:r>
        <w:t xml:space="preserve">即可，申请外网映射也只需要映射其中一个端口就行；</w:t>
      </w:r>
    </w:p>
    <w:p>
      <w:pPr/>
      <w:r>
        <w:rPr>
          <w:b w:val="1"/>
        </w:rPr>
        <w:t xml:space="preserve">日志</w:t>
      </w:r>
      <w:r>
        <w:t xml:space="preserve">：access_log未挂载，可直接使用docker logs查看日志</w:t>
      </w:r>
    </w:p>
    <w:p>
      <w:pPr/>
      <w:r>
        <w:rPr>
          <w:b w:val="1"/>
        </w:rPr>
        <w:t xml:space="preserve">配置</w:t>
      </w:r>
      <w:r>
        <w:t xml:space="preserve">：/opt/application/nginx/conf/；/opt/application/nginx/conf.d/</w:t>
      </w:r>
    </w:p>
    <w:p>
      <w:pPr/>
      <w:r>
        <w:rPr>
          <w:b w:val="1"/>
        </w:rPr>
        <w:t xml:space="preserve">SSL证书存放位置</w:t>
      </w:r>
      <w:r>
        <w:t xml:space="preserve">：/opt/application/hse/nginx/ssl/</w:t>
      </w:r>
    </w:p>
    <w:p>
      <w:pPr/>
      <w:r/>
    </w:p>
    <w:p>
      <w:pPr/>
      <w:r/>
    </w:p>
    <w:p>
      <w:pPr>
        <w:pStyle w:val="dingding-heading3"/>
        <w:numPr>
          <w:ilvl w:val="2"/>
          <w:numId w:val="4"/>
        </w:numPr>
        <w:spacing w:line="204.70588235294116"/>
      </w:pPr>
      <w:r>
        <w:rPr>
          <w:sz w:val="28"/>
          <w:b w:val="1"/>
        </w:rPr>
        <w:t xml:space="preserve">autoheal</w:t>
      </w:r>
    </w:p>
    <w:p>
      <w:pPr/>
      <w:r>
        <w:t xml:space="preserve">一个比较小的中间件，用于监控容器的健康状态，并在应用不健康时，能做到按照策略拉起应用</w:t>
      </w:r>
    </w:p>
    <w:p>
      <w:pPr/>
      <w:r>
        <w:rPr>
          <w:b w:val="1"/>
        </w:rPr>
        <w:t xml:space="preserve">容器名</w:t>
      </w:r>
      <w:r>
        <w:t xml:space="preserve">：</w:t>
      </w:r>
      <w:r>
        <w:rPr>
          <w:sz w:val="24"/>
        </w:rPr>
        <w:t xml:space="preserve">autoheal</w:t>
      </w:r>
    </w:p>
    <w:p>
      <w:pPr/>
      <w:r/>
    </w:p>
    <w:p>
      <w:pPr/>
      <w:r/>
    </w:p>
    <w:p>
      <w:pPr/>
      <w:r/>
    </w:p>
    <w:p>
      <w:pPr/>
      <w:r/>
    </w:p>
    <w:p>
      <w:pPr>
        <w:pStyle w:val="dingding-heading1"/>
        <w:spacing w:line="204.70588235294116"/>
      </w:pPr>
      <w:r>
        <w:rPr>
          <w:sz w:val="40"/>
          <w:b w:val="1"/>
        </w:rPr>
        <w:t xml:space="preserve">八 Docker 容器运维知识</w:t>
      </w:r>
    </w:p>
    <w:p>
      <w:pPr>
        <w:pStyle w:val="dingding-heading2"/>
        <w:spacing w:line="204.70588235294116"/>
      </w:pPr>
      <w:r>
        <w:rPr>
          <w:sz w:val="32"/>
          <w:b w:val="1"/>
        </w:rPr>
        <w:t xml:space="preserve">8.1 查看进程</w:t>
      </w:r>
    </w:p>
    <w:p>
      <w:pPr/>
      <w:r>
        <w:t xml:space="preserve">docker ps 显示所有启动中的容器进程</w:t>
      </w:r>
    </w:p>
    <w:p>
      <w:pPr/>
      <w:r>
        <w:t xml:space="preserve">docker ps -a 显示所有容器进程（包括启动正常的、异常的、退出的都会出来）</w:t>
      </w:r>
    </w:p>
    <w:p>
      <w:pPr/>
      <w:r>
        <w:t xml:space="preserve">根据过滤条件查看某一个应用的容器状态</w:t>
      </w:r>
    </w:p>
    <w:p>
      <w:pPr/>
      <w:r>
        <w:t xml:space="preserve">docker ps | grep tiji-location-middleware    如下图</w:t>
      </w:r>
    </w:p>
    <w:p>
      <w:pPr/>
      <w:r/>
      <w:r>
        <w:drawing>
          <wp:inline distT="0" distB="0" distL="0" distR="0">
            <wp:extent cx="7124700" cy="372471"/>
            <wp:effectExtent b="0" l="0" r="0" t="0"/>
            <wp:docPr id="4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/>
                  </pic:blipFill>
                  <pic:spPr>
                    <a:xfrm rot="0">
                      <a:off x="0" y="0"/>
                      <a:ext cx="7124700" cy="37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一共会返回7列，分别如下</w:t>
      </w:r>
    </w:p>
    <w:p>
      <w:pPr/>
      <w:r>
        <w:t xml:space="preserve">CONTAINER ID：86d03826ad8d    容器ID</w:t>
      </w:r>
    </w:p>
    <w:p>
      <w:pPr/>
      <w:r>
        <w:t xml:space="preserve">IMAGE：172.16.10.142/tiji/tiji-location-middleware:V3.15.0_1    镜像地址</w:t>
      </w:r>
    </w:p>
    <w:p>
      <w:pPr/>
      <w:r>
        <w:t xml:space="preserve">COMMAND："sh -c 'java $JAVA_O…"    容器启动时执行的命令</w:t>
      </w:r>
    </w:p>
    <w:p>
      <w:pPr/>
      <w:r>
        <w:t xml:space="preserve">CREATED：4 weeks ago    容器被创建的时间</w:t>
      </w:r>
    </w:p>
    <w:p>
      <w:pPr/>
      <w:r>
        <w:t xml:space="preserve">STATUS：Up 23 hours (healthy)    容器启动的时间</w:t>
      </w:r>
    </w:p>
    <w:p>
      <w:pPr/>
      <w:r>
        <w:t xml:space="preserve">PORTS：8311/tcp    容器端口</w:t>
      </w:r>
    </w:p>
    <w:p>
      <w:pPr/>
      <w:r>
        <w:t xml:space="preserve">最后一列为容器名</w:t>
      </w:r>
    </w:p>
    <w:p>
      <w:pPr/>
      <w:r/>
    </w:p>
    <w:p>
      <w:pPr/>
      <w:r>
        <w:t xml:space="preserve">其中CREATED表示容器是4周前创建的，中间可以restart容器很多次，每次restart都会刷新STATUS，Up表示容器是正常状态，healthy表示容器是健康的，23 hours表示23小时前重启的；</w:t>
      </w:r>
    </w:p>
    <w:p>
      <w:pPr/>
      <w:r/>
    </w:p>
    <w:p>
      <w:pPr>
        <w:pStyle w:val="dingding-heading2"/>
        <w:spacing w:line="204.70588235294116"/>
      </w:pPr>
      <w:r>
        <w:rPr>
          <w:sz w:val="32"/>
          <w:b w:val="1"/>
        </w:rPr>
        <w:t xml:space="preserve">8.2 启停容器</w:t>
      </w:r>
    </w:p>
    <w:p>
      <w:pPr/>
      <w:r>
        <w:t xml:space="preserve">启动：通常使用docker start {容器ID或容器名} 来启动一个容器，例如docker start tiji-location-middleware</w:t>
      </w:r>
    </w:p>
    <w:p>
      <w:pPr/>
      <w:r>
        <w:t xml:space="preserve">停止：通常使用docker stop {容器ID或容器名} 来启动一个容器，例如docker stop tiji-location-middleware</w:t>
      </w:r>
    </w:p>
    <w:p>
      <w:pPr/>
      <w:r>
        <w:t xml:space="preserve">重启：通常使用docker restart {容器ID或容器名} 来启动一个容器，例如docker restart tiji-location-middleware</w:t>
      </w:r>
    </w:p>
    <w:p>
      <w:pPr/>
      <w:r>
        <w:t xml:space="preserve">执行docker stop 停止容器后，再次使用docker ps |grep tiji-location-middleware 将不会返回任何结果，需要使用docker ps -a |grep tiji-location-middleware</w:t>
      </w:r>
    </w:p>
    <w:p>
      <w:pPr/>
      <w:r/>
      <w:r>
        <w:drawing>
          <wp:inline distT="0" distB="0" distL="0" distR="0">
            <wp:extent cx="7124700" cy="632397"/>
            <wp:effectExtent b="0" l="0" r="0" t="0"/>
            <wp:docPr id="5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/>
                  </pic:blipFill>
                  <pic:spPr>
                    <a:xfrm rot="0">
                      <a:off x="0" y="0"/>
                      <a:ext cx="7124700" cy="63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此时可以看到tiji-location-middleware容器的状态变成了Exited (143) 42 seconds ago ，表示退出，42秒前退出；</w:t>
      </w:r>
    </w:p>
    <w:p>
      <w:pPr/>
      <w:r/>
    </w:p>
    <w:p>
      <w:pPr/>
      <w:r/>
    </w:p>
    <w:p>
      <w:pPr>
        <w:pStyle w:val="dingding-heading2"/>
        <w:spacing w:line="204.70588235294116"/>
      </w:pPr>
      <w:r>
        <w:rPr>
          <w:sz w:val="32"/>
          <w:b w:val="1"/>
        </w:rPr>
        <w:t xml:space="preserve">8.3 查看容器日志</w:t>
      </w:r>
    </w:p>
    <w:p>
      <w:pPr/>
      <w:r>
        <w:rPr>
          <w:sz w:val="22"/>
          <w:color w:val="FE0300"/>
          <w:u w:val="single"/>
        </w:rPr>
        <w:t xml:space="preserve">此处只介绍查看容器日志的方法，日志挂载到宿主机磁盘的，可直接进指定文件夹下看日志文件；此方式在某些场景下不一定方便，不方便请直接找日志文件的存放处查看；</w:t>
      </w:r>
    </w:p>
    <w:p>
      <w:pPr/>
      <w:r/>
    </w:p>
    <w:p>
      <w:pPr>
        <w:numPr>
          <w:ilvl w:val="0"/>
          <w:numId w:val="5"/>
        </w:numPr>
      </w:pPr>
      <w:r>
        <w:t xml:space="preserve">从结尾处查看某一容器日志：</w:t>
      </w:r>
    </w:p>
    <w:p>
      <w:pPr>
        <w:ind w:left="480"/>
      </w:pPr>
      <w:r>
        <w:t xml:space="preserve">例：docker logs -fn 200 tiji-location-middleware</w:t>
      </w:r>
    </w:p>
    <w:p>
      <w:pPr>
        <w:ind w:left="480"/>
      </w:pPr>
      <w:r>
        <w:t xml:space="preserve">docker logs 查看日志的固定语法</w:t>
      </w:r>
    </w:p>
    <w:p>
      <w:pPr>
        <w:ind w:left="480"/>
      </w:pPr>
      <w:r>
        <w:t xml:space="preserve">-f 表示从结尾看日志</w:t>
      </w:r>
    </w:p>
    <w:p>
      <w:pPr>
        <w:ind w:left="480"/>
      </w:pPr>
      <w:r>
        <w:t xml:space="preserve">-n 表示结束多少行，需要在-n 后面加上行数，比如此处的200，最后面再跟上容器日志</w:t>
      </w:r>
    </w:p>
    <w:p>
      <w:pPr>
        <w:numPr>
          <w:ilvl w:val="0"/>
          <w:numId w:val="6"/>
        </w:numPr>
      </w:pPr>
      <w:r>
        <w:t xml:space="preserve">查看几分钟前容器日志：</w:t>
      </w:r>
    </w:p>
    <w:p>
      <w:pPr>
        <w:ind w:firstLine="480"/>
      </w:pPr>
      <w:r>
        <w:t xml:space="preserve">例：docker logs --since 5m tiji-location-middleware</w:t>
      </w:r>
    </w:p>
    <w:p>
      <w:pPr>
        <w:ind/>
      </w:pPr>
      <w:r/>
    </w:p>
    <w:p>
      <w:pPr>
        <w:numPr>
          <w:ilvl w:val="0"/>
          <w:numId w:val="7"/>
        </w:numPr>
      </w:pPr>
      <w:r>
        <w:t xml:space="preserve">查看指定时间内的容器日志</w:t>
      </w:r>
    </w:p>
    <w:p>
      <w:pPr>
        <w:ind w:firstLine="480"/>
      </w:pPr>
      <w:r>
        <w:t xml:space="preserve">例：docker logs --since "2024-12-18T00:00:00Z" --until "2024-12-18T00:01:00Z" tiji-location-middleware</w:t>
      </w:r>
    </w:p>
    <w:p>
      <w:pPr>
        <w:ind w:firstLine="480"/>
      </w:pPr>
      <w:r>
        <w:t xml:space="preserve">这里会查询2024-12-18 08:00:00 ~ 2024-12-18 08:01:00 之间的日志，需要特别注意下上面命令行中是UTC时区，服务器一般都是CST，所以会有8小时的偏差。</w:t>
      </w:r>
    </w:p>
    <w:p>
      <w:pPr>
        <w:ind w:firstLine="480"/>
      </w:pPr>
      <w:r/>
    </w:p>
    <w:p>
      <w:pPr>
        <w:numPr>
          <w:ilvl w:val="0"/>
          <w:numId w:val="8"/>
        </w:numPr>
      </w:pPr>
      <w:r>
        <w:t xml:space="preserve">其他</w:t>
      </w:r>
    </w:p>
    <w:p>
      <w:pPr>
        <w:ind w:firstLine="480"/>
      </w:pPr>
      <w:r>
        <w:t xml:space="preserve">docker logs 有很多其他命令，比如加上 -t  会在每一行日志前面加上时间戳，更多使用方法，可自行网上查阅；</w:t>
      </w:r>
    </w:p>
    <w:p>
      <w:pPr/>
      <w:r/>
    </w:p>
    <w:p>
      <w:pPr/>
      <w:r/>
    </w:p>
    <w:p>
      <w:pPr/>
      <w:r/>
    </w:p>
    <w:p>
      <w:pPr/>
      <w:r/>
    </w:p>
    <w:p>
      <w:pPr>
        <w:pStyle w:val="dingding-heading1"/>
        <w:spacing w:line="204.70588235294116"/>
      </w:pPr>
      <w:r>
        <w:rPr>
          <w:sz w:val="40"/>
          <w:b w:val="1"/>
        </w:rPr>
        <w:t xml:space="preserve">九 hsectl 命令使用</w:t>
      </w:r>
    </w:p>
    <w:p>
      <w:pPr/>
      <w:r>
        <w:t xml:space="preserve">hsectl是3.X安装包环境下特有的命令</w:t>
      </w:r>
    </w:p>
    <w:p>
      <w:pPr/>
      <w:r>
        <w:t xml:space="preserve">有以下常用命令</w:t>
      </w:r>
    </w:p>
    <w:p>
      <w:pPr>
        <w:pStyle w:val="dingding-heading2"/>
        <w:numPr>
          <w:ilvl w:val="0"/>
          <w:numId w:val="9"/>
        </w:numPr>
        <w:spacing w:line="204.70588235294116"/>
      </w:pPr>
      <w:r>
        <w:rPr>
          <w:sz w:val="32"/>
          <w:b w:val="1"/>
        </w:rPr>
        <w:t xml:space="preserve">hsectl version </w:t>
      </w:r>
    </w:p>
    <w:p>
      <w:pPr>
        <w:ind/>
      </w:pPr>
      <w:r>
        <w:t xml:space="preserve">查看当前平台版本，效果如下图所示：</w:t>
      </w:r>
    </w:p>
    <w:p>
      <w:pPr>
        <w:ind/>
      </w:pPr>
      <w:r/>
      <w:r>
        <w:drawing>
          <wp:inline distT="0" distB="0" distL="0" distR="0">
            <wp:extent cx="5276850" cy="676275"/>
            <wp:effectExtent b="0" l="0" r="0" t="0"/>
            <wp:docPr id="6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 rot="0">
                      <a:off x="0" y="0"/>
                      <a:ext cx="52768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/>
      </w:pPr>
      <w:r/>
    </w:p>
    <w:p>
      <w:pPr>
        <w:pStyle w:val="dingding-heading2"/>
        <w:numPr>
          <w:ilvl w:val="0"/>
          <w:numId w:val="9"/>
        </w:numPr>
        <w:spacing w:line="204.70588235294116"/>
      </w:pPr>
      <w:r>
        <w:rPr>
          <w:sz w:val="32"/>
          <w:b w:val="1"/>
        </w:rPr>
        <w:t xml:space="preserve">hsectl restart hse </w:t>
      </w:r>
    </w:p>
    <w:p>
      <w:pPr>
        <w:ind/>
      </w:pPr>
      <w:r>
        <w:t xml:space="preserve">重启所有的应用，不包含中间件，效果如下图所示：</w:t>
      </w:r>
    </w:p>
    <w:p>
      <w:pPr>
        <w:ind/>
      </w:pPr>
      <w:r/>
      <w:r>
        <w:drawing>
          <wp:inline distT="0" distB="0" distL="0" distR="0">
            <wp:extent cx="5905500" cy="3676650"/>
            <wp:effectExtent b="0" l="0" r="0" t="0"/>
            <wp:docPr id="7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/>
                  </pic:blipFill>
                  <pic:spPr>
                    <a:xfrm rot="0">
                      <a:off x="0" y="0"/>
                      <a:ext cx="59055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/>
      </w:pPr>
      <w:r/>
    </w:p>
    <w:p>
      <w:pPr>
        <w:ind/>
      </w:pPr>
      <w:r/>
    </w:p>
    <w:p>
      <w:pPr>
        <w:pStyle w:val="dingding-heading2"/>
        <w:numPr>
          <w:ilvl w:val="0"/>
          <w:numId w:val="10"/>
        </w:numPr>
        <w:spacing w:line="204.70588235294116"/>
      </w:pPr>
      <w:r>
        <w:rPr>
          <w:sz w:val="32"/>
          <w:b w:val="1"/>
        </w:rPr>
        <w:t xml:space="preserve">hsectl restart 容器名</w:t>
      </w:r>
    </w:p>
    <w:p>
      <w:pPr>
        <w:ind/>
      </w:pPr>
      <w:r>
        <w:t xml:space="preserve">重启某一个容器，例如使用hsectl restart tiji-system，效果如下图所示：</w:t>
      </w:r>
    </w:p>
    <w:p>
      <w:pPr>
        <w:ind/>
      </w:pPr>
      <w:r/>
      <w:r>
        <w:drawing>
          <wp:inline distT="0" distB="0" distL="0" distR="0">
            <wp:extent cx="4895850" cy="876300"/>
            <wp:effectExtent b="0" l="0" r="0" t="0"/>
            <wp:docPr id="8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/>
                  </pic:blipFill>
                  <pic:spPr>
                    <a:xfrm rot="0">
                      <a:off x="0" y="0"/>
                      <a:ext cx="48958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/>
      </w:pPr>
      <w:r/>
    </w:p>
    <w:p>
      <w:pPr>
        <w:ind/>
      </w:pPr>
      <w:r/>
    </w:p>
    <w:p>
      <w:pPr>
        <w:pStyle w:val="dingding-heading2"/>
        <w:numPr>
          <w:ilvl w:val="0"/>
          <w:numId w:val="11"/>
        </w:numPr>
        <w:spacing w:line="204.70588235294116"/>
      </w:pPr>
      <w:r>
        <w:rPr>
          <w:sz w:val="32"/>
          <w:b w:val="1"/>
        </w:rPr>
        <w:t xml:space="preserve">hsectl stop hse</w:t>
      </w:r>
    </w:p>
    <w:p>
      <w:pPr>
        <w:ind/>
      </w:pPr>
      <w:r>
        <w:t xml:space="preserve">停止所有的应用，不包含中间件，效果如下图所示：</w:t>
      </w:r>
    </w:p>
    <w:p>
      <w:pPr/>
      <w:r/>
      <w:r>
        <w:drawing>
          <wp:inline distT="0" distB="0" distL="0" distR="0">
            <wp:extent cx="4448175" cy="3686175"/>
            <wp:effectExtent b="0" l="0" r="0" t="0"/>
            <wp:docPr id="9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/>
                  </pic:blipFill>
                  <pic:spPr>
                    <a:xfrm rot="0">
                      <a:off x="0" y="0"/>
                      <a:ext cx="44481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>
        <w:pStyle w:val="dingding-heading2"/>
        <w:numPr>
          <w:ilvl w:val="0"/>
          <w:numId w:val="12"/>
        </w:numPr>
        <w:spacing w:line="204.70588235294116"/>
      </w:pPr>
      <w:r>
        <w:rPr>
          <w:sz w:val="32"/>
          <w:b w:val="1"/>
        </w:rPr>
        <w:t xml:space="preserve">hsectl stop 容器名</w:t>
      </w:r>
    </w:p>
    <w:p>
      <w:pPr/>
      <w:r>
        <w:t xml:space="preserve">停止某一个应用或中间件，例如hsectl stop tiji-system，效果如下图所示：</w:t>
      </w:r>
    </w:p>
    <w:p>
      <w:pPr/>
      <w:r/>
      <w:r>
        <w:drawing>
          <wp:inline distT="0" distB="0" distL="0" distR="0">
            <wp:extent cx="5743575" cy="542925"/>
            <wp:effectExtent b="0" l="0" r="0" t="0"/>
            <wp:docPr id="10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/>
                  </pic:blipFill>
                  <pic:spPr>
                    <a:xfrm rot="0">
                      <a:off x="0" y="0"/>
                      <a:ext cx="5743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/>
      <w:r/>
    </w:p>
    <w:p>
      <w:pPr>
        <w:pStyle w:val="dingding-heading2"/>
        <w:numPr>
          <w:ilvl w:val="0"/>
          <w:numId w:val="13"/>
        </w:numPr>
        <w:spacing w:line="204.70588235294116"/>
      </w:pPr>
      <w:r>
        <w:rPr>
          <w:sz w:val="32"/>
          <w:b w:val="1"/>
        </w:rPr>
        <w:t xml:space="preserve">hsectl down hse</w:t>
      </w:r>
    </w:p>
    <w:p>
      <w:pPr>
        <w:ind/>
      </w:pPr>
      <w:r>
        <w:t xml:space="preserve">移除所有的应用，应用容器会一并删除，数据不会丢失，应用属于无状态的，效果如下图所示：</w:t>
      </w:r>
    </w:p>
    <w:p>
      <w:pPr>
        <w:ind/>
      </w:pPr>
      <w:r/>
      <w:r>
        <w:drawing>
          <wp:inline distT="0" distB="0" distL="0" distR="0">
            <wp:extent cx="5219700" cy="3638550"/>
            <wp:effectExtent b="0" l="0" r="0" t="0"/>
            <wp:docPr id="11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/>
                  </pic:blipFill>
                  <pic:spPr>
                    <a:xfrm rot="0">
                      <a:off x="0" y="0"/>
                      <a:ext cx="52197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/>
      </w:pPr>
      <w:r>
        <w:t xml:space="preserve">最终状态变成Removed，表示已删除</w:t>
      </w:r>
    </w:p>
    <w:p>
      <w:pPr>
        <w:ind/>
      </w:pPr>
      <w:r/>
    </w:p>
    <w:p>
      <w:pPr>
        <w:ind/>
      </w:pPr>
      <w:r/>
    </w:p>
    <w:p>
      <w:pPr>
        <w:pStyle w:val="dingding-heading2"/>
        <w:numPr>
          <w:ilvl w:val="0"/>
          <w:numId w:val="14"/>
        </w:numPr>
        <w:spacing w:line="204.70588235294116"/>
      </w:pPr>
      <w:r>
        <w:rPr>
          <w:sz w:val="32"/>
          <w:b w:val="1"/>
        </w:rPr>
        <w:t xml:space="preserve">hsectl down 容器名</w:t>
      </w:r>
    </w:p>
    <w:p>
      <w:pPr>
        <w:ind/>
      </w:pPr>
      <w:r>
        <w:t xml:space="preserve">移除某一个应用或中间件，例如hsectl down srs，效果如下图所示：</w:t>
      </w:r>
    </w:p>
    <w:p>
      <w:pPr>
        <w:ind/>
      </w:pPr>
      <w:r/>
      <w:r>
        <w:drawing>
          <wp:inline distT="0" distB="0" distL="0" distR="0">
            <wp:extent cx="4419600" cy="1047750"/>
            <wp:effectExtent b="0" l="0" r="0" t="0"/>
            <wp:docPr id="12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/>
                  </pic:blipFill>
                  <pic:spPr>
                    <a:xfrm rot="0">
                      <a:off x="0" y="0"/>
                      <a:ext cx="44196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/>
      </w:pPr>
      <w:r>
        <w:t xml:space="preserve">会先stop再移除；</w:t>
      </w:r>
    </w:p>
    <w:p>
      <w:pPr>
        <w:ind/>
      </w:pPr>
      <w:r/>
    </w:p>
    <w:p>
      <w:pPr>
        <w:ind/>
      </w:pPr>
      <w:r/>
    </w:p>
    <w:p>
      <w:pPr>
        <w:pStyle w:val="dingding-heading2"/>
        <w:numPr>
          <w:ilvl w:val="0"/>
          <w:numId w:val="15"/>
        </w:numPr>
        <w:spacing w:line="204.70588235294116"/>
      </w:pPr>
      <w:r>
        <w:rPr>
          <w:sz w:val="32"/>
          <w:b w:val="1"/>
        </w:rPr>
        <w:t xml:space="preserve">hsectl start</w:t>
      </w:r>
    </w:p>
    <w:p>
      <w:pPr>
        <w:ind/>
      </w:pPr>
      <w:r>
        <w:t xml:space="preserve">一键启动所有应用和中间件，如果已经启动着的应用和中间，并不会重启，效果如下图所示：</w:t>
      </w:r>
    </w:p>
    <w:p>
      <w:pPr>
        <w:ind/>
      </w:pPr>
      <w:r/>
      <w:r>
        <w:drawing>
          <wp:inline distT="0" distB="0" distL="0" distR="0">
            <wp:extent cx="5095875" cy="5286375"/>
            <wp:effectExtent b="0" l="0" r="0" t="0"/>
            <wp:docPr id="13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/>
                  </pic:blipFill>
                  <pic:spPr>
                    <a:xfrm rot="0">
                      <a:off x="0" y="0"/>
                      <a:ext cx="50958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/>
      </w:pPr>
      <w:r>
        <w:t xml:space="preserve">最终状态Started，表示重新创建应用/中间件容器，已经开始启动，但是并不表示启动成功，状态是Running的，表示的是这个应用/中间件是启动着的，并不是因此命令重启，无变化；</w:t>
      </w:r>
    </w:p>
    <w:p>
      <w:pPr>
        <w:ind/>
      </w:pPr>
      <w:r/>
    </w:p>
    <w:p>
      <w:pPr>
        <w:ind/>
      </w:pPr>
      <w:r/>
    </w:p>
    <w:p>
      <w:pPr>
        <w:pStyle w:val="dingding-heading2"/>
        <w:numPr>
          <w:ilvl w:val="0"/>
          <w:numId w:val="16"/>
        </w:numPr>
        <w:spacing w:line="204.70588235294116"/>
      </w:pPr>
      <w:r>
        <w:rPr>
          <w:sz w:val="32"/>
          <w:b w:val="1"/>
        </w:rPr>
        <w:t xml:space="preserve">hsectl status</w:t>
      </w:r>
    </w:p>
    <w:p>
      <w:pPr>
        <w:ind/>
      </w:pPr>
      <w:r>
        <w:t xml:space="preserve">查看所有应用和中间件的状态，效果如下图所示：</w:t>
      </w:r>
    </w:p>
    <w:p>
      <w:pPr>
        <w:ind/>
      </w:pPr>
      <w:r/>
      <w:r>
        <w:drawing>
          <wp:inline distT="0" distB="0" distL="0" distR="0">
            <wp:extent cx="7124700" cy="4385032"/>
            <wp:effectExtent b="0" l="0" r="0" t="0"/>
            <wp:docPr id="14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/>
                  </pic:blipFill>
                  <pic:spPr>
                    <a:xfrm rot="0">
                      <a:off x="0" y="0"/>
                      <a:ext cx="7124700" cy="438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重点关注括号内的，health：starting表示正在启动中；healthy 表示启动完成并且健康；unhealthy 表示启动失败并且不健康，等待自我重启；</w:t>
      </w:r>
    </w:p>
    <w:p>
      <w:pPr>
        <w:ind/>
      </w:pPr>
      <w:r/>
    </w:p>
    <w:p>
      <w:pPr>
        <w:ind/>
      </w:pPr>
      <w:r/>
    </w:p>
    <w:p>
      <w:pPr/>
      <w:r/>
    </w:p>
    <w:p>
      <w:pPr/>
      <w:r/>
    </w:p>
    <w:p>
      <w:pPr/>
      <w:r/>
    </w:p>
    <w:p>
      <w:pPr/>
      <w:r/>
    </w:p>
    <w:p>
      <w:pPr>
        <w:pStyle w:val="dingding-heading1"/>
        <w:spacing w:line="204.70588235294116"/>
      </w:pPr>
      <w:r>
        <w:rPr>
          <w:sz w:val="40"/>
          <w:b w:val="1"/>
        </w:rPr>
        <w:t xml:space="preserve">十 备份</w:t>
      </w:r>
    </w:p>
    <w:p>
      <w:pPr/>
      <w:r>
        <w:t xml:space="preserve">seekcy下有一个crontab定时任务，如下：</w:t>
      </w:r>
    </w:p>
    <w:p>
      <w:pPr/>
      <w:r>
        <w:t xml:space="preserve">15 2 * * * sh /opt/application/hse/backup_data.sh &gt;&gt;/var/log/hse/backup.log 2&gt;&amp;1</w:t>
      </w:r>
    </w:p>
    <w:p>
      <w:pPr/>
      <w:r>
        <w:t xml:space="preserve">每天夜里2点15分开始执行备份脚本；（如果有需要改的，自行修改）</w:t>
      </w:r>
    </w:p>
    <w:p>
      <w:pPr/>
      <w:r>
        <w:t xml:space="preserve">备份范围和目录：</w:t>
      </w:r>
    </w:p>
    <w:p>
      <w:pPr>
        <w:numPr>
          <w:ilvl w:val="0"/>
          <w:numId w:val="17"/>
        </w:numPr>
      </w:pPr>
      <w:r>
        <w:t xml:space="preserve">MySQL：/opt/application/backup/mysql</w:t>
      </w:r>
    </w:p>
    <w:p>
      <w:pPr>
        <w:numPr>
          <w:ilvl w:val="0"/>
          <w:numId w:val="17"/>
        </w:numPr>
      </w:pPr>
      <w:r>
        <w:t xml:space="preserve">MongoDB：/opt/application/backup/mongo</w:t>
      </w:r>
    </w:p>
    <w:p>
      <w:pPr>
        <w:numPr>
          <w:ilvl w:val="0"/>
          <w:numId w:val="17"/>
        </w:numPr>
      </w:pPr>
      <w:r>
        <w:t xml:space="preserve">InfluxDB：/opt/application/backup/influx</w:t>
      </w:r>
    </w:p>
    <w:p>
      <w:pPr/>
      <w:r>
        <w:t xml:space="preserve">保留天数：8天</w:t>
      </w:r>
    </w:p>
    <w:p>
      <w:pPr/>
      <w:r/>
    </w:p>
    <w:p>
      <w:pPr/>
      <w:r/>
    </w:p>
    <w:p>
      <w:pPr/>
      <w:r/>
    </w:p>
    <w:p>
      <w:pPr/>
      <w:r/>
    </w:p>
    <w:p>
      <w:pPr/>
      <w:r/>
    </w:p>
    <w:p>
      <w:pPr/>
      <w:r/>
    </w:p>
    <w:p>
      <w:pPr/>
      <w:r/>
    </w:p>
    <w:p>
      <w:pPr>
        <w:pStyle w:val="dingding-heading1"/>
        <w:spacing w:line="204.70588235294116"/>
      </w:pPr>
      <w:r>
        <w:rPr>
          <w:sz w:val="40"/>
          <w:b w:val="1"/>
        </w:rPr>
        <w:t xml:space="preserve">十一 基础软件版本清单</w:t>
      </w:r>
    </w:p>
    <w:tbl>
      <w:tblPr>
        <w:tblStyle w:val="tableHeader"/>
        <w:tblW w:w="5000" w:type="pct"/>
        <w:tblLook w:firstRow="1" w:lastRow="0" w:firstColumn="0" w:lastColumn="0" w:noHBand="0" w:noVBand="0"/>
      </w:tblPr>
      <w:tblGrid>
        <w:gridCol w:w="3153"/>
        <w:gridCol w:w="4325"/>
        <w:gridCol w:w="3740"/>
      </w:tblGrid>
      <w:tr>
        <w:trPr>
          <w:trHeight w:val="0"/>
        </w:trPr>
        <w:tc>
          <w:tcPr>
            <w:tcW w:w="3153" w:type="dxa"/>
            <w:vAlign w:val="center"/>
          </w:tcPr>
          <w:p>
            <w:pPr>
              <w:jc w:val="center"/>
            </w:pPr>
            <w:r>
              <w:t xml:space="preserve">分类</w:t>
            </w:r>
          </w:p>
        </w:tc>
        <w:tc>
          <w:tcPr>
            <w:tcW w:w="4325" w:type="dxa"/>
          </w:tcPr>
          <w:p>
            <w:pPr/>
            <w:r>
              <w:t xml:space="preserve">软件名称</w:t>
            </w:r>
          </w:p>
        </w:tc>
        <w:tc>
          <w:tcPr>
            <w:tcW w:w="3740" w:type="dxa"/>
          </w:tcPr>
          <w:p>
            <w:pPr/>
            <w:r>
              <w:t xml:space="preserve">版本</w:t>
            </w:r>
          </w:p>
        </w:tc>
      </w:tr>
      <w:tr>
        <w:trPr>
          <w:trHeight w:val="0"/>
        </w:trPr>
        <w:tc>
          <w:tcPr>
            <w:tcW w:w="3153" w:type="dxa"/>
            <w:vMerge w:val="restart"/>
            <w:vAlign w:val="center"/>
          </w:tcPr>
          <w:p>
            <w:pPr>
              <w:jc w:val="center"/>
            </w:pPr>
            <w:r>
              <w:t xml:space="preserve">应用</w:t>
            </w:r>
          </w:p>
        </w:tc>
        <w:tc>
          <w:tcPr>
            <w:tcW w:w="4325" w:type="dxa"/>
          </w:tcPr>
          <w:p>
            <w:pPr/>
            <w:r>
              <w:t xml:space="preserve">3.X微服务应用</w:t>
            </w:r>
          </w:p>
        </w:tc>
        <w:tc>
          <w:tcPr>
            <w:tcW w:w="3740" w:type="dxa"/>
          </w:tcPr>
          <w:p>
            <w:pPr/>
            <w:r>
              <w:t xml:space="preserve">V3.15.0</w:t>
            </w:r>
          </w:p>
        </w:tc>
      </w:tr>
      <w:tr>
        <w:trPr>
          <w:trHeight w:val="0"/>
        </w:trPr>
        <w:tc>
          <w:tcPr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4325" w:type="dxa"/>
          </w:tcPr>
          <w:p>
            <w:pPr/>
            <w:r>
              <w:t xml:space="preserve">tiji-workflow 流程引擎</w:t>
            </w:r>
          </w:p>
        </w:tc>
        <w:tc>
          <w:tcPr>
            <w:tcW w:w="3740" w:type="dxa"/>
          </w:tcPr>
          <w:p>
            <w:pPr/>
            <w:r>
              <w:t xml:space="preserve">V1.11.0</w:t>
            </w:r>
          </w:p>
        </w:tc>
      </w:tr>
      <w:tr>
        <w:trPr>
          <w:trHeight w:val="0"/>
        </w:trPr>
        <w:tc>
          <w:tcPr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4325" w:type="dxa"/>
          </w:tcPr>
          <w:p>
            <w:pPr/>
            <w:r>
              <w:t xml:space="preserve">tiji-cdc 数据感知</w:t>
            </w:r>
          </w:p>
        </w:tc>
        <w:tc>
          <w:tcPr>
            <w:tcW w:w="3740" w:type="dxa"/>
          </w:tcPr>
          <w:p>
            <w:pPr/>
            <w:r>
              <w:t xml:space="preserve">V3.15.0</w:t>
            </w:r>
          </w:p>
        </w:tc>
      </w:tr>
      <w:tr>
        <w:trPr>
          <w:trHeight w:val="0"/>
        </w:trPr>
        <w:tc>
          <w:tcPr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4325" w:type="dxa"/>
          </w:tcPr>
          <w:p>
            <w:pPr/>
            <w:r>
              <w:t xml:space="preserve">tiji-fileview 预览服务</w:t>
            </w:r>
          </w:p>
        </w:tc>
        <w:tc>
          <w:tcPr>
            <w:tcW w:w="3740" w:type="dxa"/>
          </w:tcPr>
          <w:p>
            <w:pPr/>
            <w:r>
              <w:t xml:space="preserve">V3.15.0</w:t>
            </w:r>
          </w:p>
        </w:tc>
      </w:tr>
      <w:tr>
        <w:trPr>
          <w:trHeight w:val="495"/>
        </w:trPr>
        <w:tc>
          <w:tcPr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4325" w:type="dxa"/>
          </w:tcPr>
          <w:p>
            <w:pPr/>
            <w:r>
              <w:t xml:space="preserve">tiji-xxl-job 分布式调度服务</w:t>
            </w:r>
          </w:p>
        </w:tc>
        <w:tc>
          <w:tcPr>
            <w:tcW w:w="3740" w:type="dxa"/>
          </w:tcPr>
          <w:p>
            <w:pPr/>
            <w:r>
              <w:t xml:space="preserve">V3.15.0</w:t>
            </w:r>
          </w:p>
        </w:tc>
      </w:tr>
      <w:tr>
        <w:trPr>
          <w:trHeight w:val="0"/>
        </w:trPr>
        <w:tc>
          <w:tcPr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4325" w:type="dxa"/>
          </w:tcPr>
          <w:p>
            <w:pPr/>
            <w:r>
              <w:t xml:space="preserve">tiji-lic 授权服务</w:t>
            </w:r>
          </w:p>
        </w:tc>
        <w:tc>
          <w:tcPr>
            <w:tcW w:w="3740" w:type="dxa"/>
          </w:tcPr>
          <w:p>
            <w:pPr/>
            <w:r>
              <w:t xml:space="preserve">V3.15.0</w:t>
            </w:r>
          </w:p>
        </w:tc>
      </w:tr>
      <w:tr>
        <w:trPr>
          <w:trHeight w:val="0"/>
        </w:trPr>
        <w:tc>
          <w:tcPr>
            <w:tcW w:w="3153" w:type="dxa"/>
            <w:vMerge w:val="restart"/>
            <w:vAlign w:val="center"/>
          </w:tcPr>
          <w:p>
            <w:pPr>
              <w:jc w:val="center"/>
            </w:pPr>
            <w:r>
              <w:t xml:space="preserve">基础框架</w:t>
            </w:r>
          </w:p>
        </w:tc>
        <w:tc>
          <w:tcPr>
            <w:tcW w:w="4325" w:type="dxa"/>
          </w:tcPr>
          <w:p>
            <w:pPr/>
            <w:r>
              <w:t xml:space="preserve">Docker</w:t>
            </w:r>
          </w:p>
        </w:tc>
        <w:tc>
          <w:tcPr>
            <w:tcW w:w="3740" w:type="dxa"/>
          </w:tcPr>
          <w:p>
            <w:pPr/>
            <w:r>
              <w:t xml:space="preserve">24.0.5</w:t>
            </w:r>
          </w:p>
        </w:tc>
      </w:tr>
      <w:tr>
        <w:trPr>
          <w:trHeight w:val="0"/>
        </w:trPr>
        <w:tc>
          <w:tcPr>
            <w:vMerge w:val="continue"/>
          </w:tcPr>
          <w:p>
            <w:pPr/>
            <w:r/>
          </w:p>
        </w:tc>
        <w:tc>
          <w:tcPr>
            <w:tcW w:w="4325" w:type="dxa"/>
          </w:tcPr>
          <w:p>
            <w:pPr/>
            <w:r>
              <w:t xml:space="preserve">JDK</w:t>
            </w:r>
          </w:p>
        </w:tc>
        <w:tc>
          <w:tcPr>
            <w:tcW w:w="3740" w:type="dxa"/>
          </w:tcPr>
          <w:p>
            <w:pPr/>
            <w:r>
              <w:t xml:space="preserve">11.0.24</w:t>
            </w:r>
          </w:p>
        </w:tc>
      </w:tr>
      <w:tr>
        <w:trPr>
          <w:trHeight w:val="0"/>
        </w:trPr>
        <w:tc>
          <w:tcPr>
            <w:tcW w:w="3153" w:type="dxa"/>
            <w:vMerge w:val="restart"/>
            <w:vAlign w:val="center"/>
          </w:tcPr>
          <w:p>
            <w:pPr>
              <w:jc w:val="center"/>
            </w:pPr>
            <w:r/>
          </w:p>
          <w:p>
            <w:pPr>
              <w:jc w:val="center"/>
            </w:pPr>
            <w:r>
              <w:t xml:space="preserve">中间件</w:t>
            </w:r>
          </w:p>
        </w:tc>
        <w:tc>
          <w:tcPr>
            <w:tcW w:w="4325" w:type="dxa"/>
          </w:tcPr>
          <w:p>
            <w:pPr/>
            <w:r>
              <w:t xml:space="preserve">MySQL</w:t>
            </w:r>
          </w:p>
        </w:tc>
        <w:tc>
          <w:tcPr>
            <w:tcW w:w="3740" w:type="dxa"/>
          </w:tcPr>
          <w:p>
            <w:pPr/>
            <w:r>
              <w:t xml:space="preserve">5.7.44</w:t>
            </w:r>
          </w:p>
        </w:tc>
      </w:tr>
      <w:tr>
        <w:trPr>
          <w:trHeight w:val="0"/>
        </w:trPr>
        <w:tc>
          <w:tcPr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4325" w:type="dxa"/>
          </w:tcPr>
          <w:p>
            <w:pPr/>
            <w:r>
              <w:t xml:space="preserve">MongoDB</w:t>
            </w:r>
          </w:p>
        </w:tc>
        <w:tc>
          <w:tcPr>
            <w:tcW w:w="3740" w:type="dxa"/>
          </w:tcPr>
          <w:p>
            <w:pPr/>
            <w:r>
              <w:t xml:space="preserve">4.4.25</w:t>
            </w:r>
          </w:p>
        </w:tc>
      </w:tr>
      <w:tr>
        <w:trPr>
          <w:trHeight w:val="0"/>
        </w:trPr>
        <w:tc>
          <w:tcPr>
            <w:vMerge w:val="continue"/>
            <w:vAlign w:val="center"/>
          </w:tcPr>
          <w:p>
            <w:pPr/>
            <w:r/>
          </w:p>
        </w:tc>
        <w:tc>
          <w:tcPr>
            <w:tcW w:w="4325" w:type="dxa"/>
          </w:tcPr>
          <w:p>
            <w:pPr/>
            <w:r>
              <w:t xml:space="preserve">InfluxDB</w:t>
            </w:r>
          </w:p>
        </w:tc>
        <w:tc>
          <w:tcPr>
            <w:tcW w:w="3740" w:type="dxa"/>
          </w:tcPr>
          <w:p>
            <w:pPr/>
            <w:r>
              <w:t xml:space="preserve">1.8.10</w:t>
            </w:r>
          </w:p>
        </w:tc>
      </w:tr>
      <w:tr>
        <w:trPr>
          <w:trHeight w:val="0"/>
        </w:trPr>
        <w:tc>
          <w:tcPr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4325" w:type="dxa"/>
          </w:tcPr>
          <w:p>
            <w:pPr/>
            <w:r>
              <w:t xml:space="preserve">Nacos</w:t>
            </w:r>
          </w:p>
        </w:tc>
        <w:tc>
          <w:tcPr>
            <w:tcW w:w="3740" w:type="dxa"/>
          </w:tcPr>
          <w:p>
            <w:pPr/>
            <w:r>
              <w:t xml:space="preserve">2.3.2</w:t>
            </w:r>
          </w:p>
        </w:tc>
      </w:tr>
      <w:tr>
        <w:trPr>
          <w:trHeight w:val="0"/>
        </w:trPr>
        <w:tc>
          <w:tcPr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4325" w:type="dxa"/>
          </w:tcPr>
          <w:p>
            <w:pPr/>
            <w:r>
              <w:t xml:space="preserve">Redis</w:t>
            </w:r>
          </w:p>
        </w:tc>
        <w:tc>
          <w:tcPr>
            <w:tcW w:w="3740" w:type="dxa"/>
          </w:tcPr>
          <w:p>
            <w:pPr/>
            <w:r>
              <w:t xml:space="preserve">7.0.2</w:t>
            </w:r>
          </w:p>
        </w:tc>
      </w:tr>
      <w:tr>
        <w:trPr>
          <w:trHeight w:val="0"/>
        </w:trPr>
        <w:tc>
          <w:tcPr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4325" w:type="dxa"/>
          </w:tcPr>
          <w:p>
            <w:pPr/>
            <w:r>
              <w:t xml:space="preserve">RocketMQ</w:t>
            </w:r>
          </w:p>
        </w:tc>
        <w:tc>
          <w:tcPr>
            <w:tcW w:w="3740" w:type="dxa"/>
          </w:tcPr>
          <w:p>
            <w:pPr/>
            <w:r>
              <w:t xml:space="preserve">4.9.1</w:t>
            </w:r>
          </w:p>
        </w:tc>
      </w:tr>
      <w:tr>
        <w:trPr>
          <w:trHeight w:val="0"/>
        </w:trPr>
        <w:tc>
          <w:tcPr>
            <w:vMerge w:val="continue"/>
          </w:tcPr>
          <w:p>
            <w:pPr/>
            <w:r/>
          </w:p>
        </w:tc>
        <w:tc>
          <w:tcPr>
            <w:tcW w:w="4325" w:type="dxa"/>
          </w:tcPr>
          <w:p>
            <w:pPr/>
            <w:r>
              <w:t xml:space="preserve">EMQX（默认不安装）</w:t>
            </w:r>
          </w:p>
        </w:tc>
        <w:tc>
          <w:tcPr>
            <w:tcW w:w="3740" w:type="dxa"/>
          </w:tcPr>
          <w:p>
            <w:pPr/>
            <w:r>
              <w:t xml:space="preserve">4.3.14</w:t>
            </w:r>
          </w:p>
        </w:tc>
      </w:tr>
      <w:tr>
        <w:trPr>
          <w:trHeight w:val="0"/>
        </w:trPr>
        <w:tc>
          <w:tcPr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4325" w:type="dxa"/>
          </w:tcPr>
          <w:p>
            <w:pPr/>
            <w:r>
              <w:t xml:space="preserve">SRS</w:t>
            </w:r>
          </w:p>
        </w:tc>
        <w:tc>
          <w:tcPr>
            <w:tcW w:w="3740" w:type="dxa"/>
          </w:tcPr>
          <w:p>
            <w:pPr/>
            <w:r>
              <w:t xml:space="preserve">5.0.14</w:t>
            </w:r>
          </w:p>
        </w:tc>
      </w:tr>
      <w:tr>
        <w:trPr>
          <w:trHeight w:val="0"/>
        </w:trPr>
        <w:tc>
          <w:tcPr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4325" w:type="dxa"/>
          </w:tcPr>
          <w:p>
            <w:pPr/>
            <w:r>
              <w:t xml:space="preserve">Nginx</w:t>
            </w:r>
          </w:p>
        </w:tc>
        <w:tc>
          <w:tcPr>
            <w:tcW w:w="3740" w:type="dxa"/>
          </w:tcPr>
          <w:p>
            <w:pPr/>
            <w:r>
              <w:t xml:space="preserve">1.23.2</w:t>
            </w:r>
          </w:p>
        </w:tc>
      </w:tr>
      <w:tr>
        <w:trPr>
          <w:trHeight w:val="0"/>
        </w:trPr>
        <w:tc>
          <w:tcPr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4325" w:type="dxa"/>
          </w:tcPr>
          <w:p>
            <w:pPr/>
            <w:r>
              <w:t xml:space="preserve">autoheal</w:t>
            </w:r>
          </w:p>
        </w:tc>
        <w:tc>
          <w:tcPr>
            <w:tcW w:w="3740" w:type="dxa"/>
          </w:tcPr>
          <w:p>
            <w:pPr/>
            <w:r>
              <w:t xml:space="preserve">1.2.0</w:t>
            </w:r>
          </w:p>
        </w:tc>
      </w:tr>
    </w:tbl>
    <w:p>
      <w:pPr/>
      <w:r/>
    </w:p>
    <w:p>
      <w:pPr/>
      <w:r/>
    </w:p>
    <w:p>
      <w:pPr/>
      <w:r/>
    </w:p>
    <w:sectPr>
      <w:headerReference w:type="first" r:id="rId5"/>
      <w:pgSz w:w="13380" w:h="16905"/>
      <w:pgMar w:top="720" w:right="1080" w:bottom="720" w:left="1080" w:header="850.95" w:footer="991.95" w:gutter="0"/>
      <w:titlePg w:val="1"/>
      <w:type w:val="nextPage"/>
    </w:sectPr>
  </w:body>
</w:document>
</file>

<file path=word/header1.xml><?xml version="1.0" encoding="utf-8"?>
<w:hdr xmlns:r="http://schemas.openxmlformats.org/officeDocument/2006/relationships" xmlns:o="urn:schemas-microsoft-com:office:office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r>
      <w:drawing>
        <wp:anchor distT="0" distB="0" distL="0" distR="0" simplePos="0" allowOverlap="true" behindDoc="false" locked="false" layoutInCell="true" relativeHeight="2516582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9867900" cy="2228850"/>
          <wp:effectExtent b="0" l="0" r="0" t="0"/>
          <wp:wrapTopAndBottom wrapText="bothSides"/>
          <wp:docPr id="1" name="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rcRect r="0" b="27175" t="27175" l="0"/>
                  <a:stretch/>
                </pic:blipFill>
                <pic:spPr>
                  <a:xfrm rot="0">
                    <a:off x="0" y="0"/>
                    <a:ext cx="9867900" cy="222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10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6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5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7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0" w15:restartNumberingAfterBreak="0">
    <w:lvl w:ilvl="1">
      <w:start w:val="1"/>
      <w:numFmt w:val="bullet"/>
      <w:lvlText w:val="○"/>
      <w:lvlJc w:val="left"/>
      <w:pPr>
        <w:ind w:left="840" w:hanging="420"/>
      </w:pPr>
      <w:rPr/>
    </w:lvl>
  </w:abstractNum>
  <w:abstractNum w:abstractNumId="14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13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8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15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1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11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4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3" w15:restartNumberingAfterBreak="0">
    <w:lvl w:ilvl="2">
      <w:start w:val="1"/>
      <w:numFmt w:val="decimal"/>
      <w:lvlText w:val="%1.%2"/>
      <w:lvlJc w:val="left"/>
      <w:pPr>
        <w:ind w:left="1260" w:hanging="420"/>
      </w:pPr>
      <w:rPr/>
    </w:lvl>
  </w:abstractNum>
  <w:abstractNum w:abstractNumId="16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9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2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abstractNum w:abstractNumId="12" w15:restartNumberingAfterBreak="0">
    <w:lvl w:ilvl="0">
      <w:start w:val="1"/>
      <w:numFmt w:val="bullet"/>
      <w:lvlText w:val="●"/>
      <w:lvlJc w:val="left"/>
      <w:pPr>
        <w:ind w:left="420" w:hanging="420"/>
      </w:pPr>
      <w:rPr/>
    </w:lvl>
  </w:abstractNum>
  <w:num w:numId="13">
    <w:abstractNumId w:val="12"/>
  </w:num>
  <w:num w:numId="6">
    <w:abstractNumId w:val="5"/>
  </w:num>
  <w:num w:numId="3">
    <w:abstractNumId w:val="2"/>
  </w:num>
  <w:num w:numId="8">
    <w:abstractNumId w:val="7"/>
  </w:num>
  <w:num w:numId="10">
    <w:abstractNumId w:val="9"/>
  </w:num>
  <w:num w:numId="12">
    <w:abstractNumId w:val="11"/>
  </w:num>
  <w:num w:numId="15">
    <w:abstractNumId w:val="14"/>
  </w:num>
  <w:num w:numId="1">
    <w:abstractNumId w:val="0"/>
  </w:num>
  <w:num w:numId="9">
    <w:abstractNumId w:val="8"/>
  </w:num>
  <w:num w:numId="11">
    <w:abstractNumId w:val="10"/>
  </w:num>
  <w:num w:numId="16">
    <w:abstractNumId w:val="15"/>
  </w:num>
  <w:num w:numId="2">
    <w:abstractNumId w:val="1"/>
  </w:num>
  <w:num w:numId="7">
    <w:abstractNumId w:val="6"/>
  </w:num>
  <w:num w:numId="5">
    <w:abstractNumId w:val="4"/>
  </w:num>
  <w:num w:numId="4">
    <w:abstractNumId w:val="3"/>
  </w:num>
  <w:num w:numId="17">
    <w:abstractNumId w:val="16"/>
  </w:num>
  <w:num w:numId="14">
    <w:abstractNumId w:val="13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bordersDoNotSurroundFooter/>
  <w:bordersDoNotSurroundHead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rFonts w:asciiTheme="minorHAnsi" w:hAnsiTheme="minorHAnsi" w:cstheme="minorBidi" w:eastAsiaTheme="minorEastAsia"/>
        <w:kern w:val="2"/>
      </w:rPr>
    </w:rPrDefault>
    <w:pPrDefault/>
  </w:docDefaults>
  <w:style w:type="table" w:default="0" w:styleId="TableGrid">
    <w:name w:val="Table Grid"/>
    <w:basedOn w:val="Normal Table"/>
    <w:tblPr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</w:tblPr>
    <w:tcPr/>
  </w:style>
  <w:style w:type="paragraph" w:default="0" w:styleId="dingding-heading1">
    <w:name w:val="heading 1"/>
    <w:basedOn w:val="NormalParagraph"/>
    <w:tcPr/>
    <w:pPr>
      <w:keepLines w:val="1"/>
      <w:keepNext w:val="1"/>
      <w:spacing w:before="348" w:after="210" w:lineRule="auto"/>
    </w:pPr>
    <w:rPr>
      <w:sz w:val="34"/>
      <w:b w:val="1"/>
    </w:rPr>
  </w:style>
  <w:style w:type="paragraph" w:default="0" w:styleId="dingding-heading2">
    <w:name w:val="heading 2"/>
    <w:basedOn w:val="NormalParagraph"/>
    <w:tcPr/>
    <w:pPr>
      <w:keepLines w:val="1"/>
      <w:keepNext w:val="1"/>
      <w:spacing w:before="348" w:after="190" w:lineRule="auto"/>
    </w:pPr>
    <w:rPr>
      <w:sz w:val="28"/>
      <w:b w:val="1"/>
    </w:rPr>
  </w:style>
  <w:style w:type="paragraph" w:default="0" w:styleId="dingding-heading3">
    <w:name w:val="heading 3"/>
    <w:basedOn w:val="NormalParagraph"/>
    <w:tcPr/>
    <w:pPr>
      <w:keepLines w:val="1"/>
      <w:keepNext w:val="1"/>
      <w:spacing w:before="348" w:after="170" w:lineRule="auto"/>
    </w:pPr>
    <w:rPr>
      <w:sz w:val="22"/>
      <w:b w:val="1"/>
    </w:rPr>
  </w:style>
  <w:style w:type="paragraph" w:default="1" w:styleId="docDefaults">
    <w:name w:val="dingdocnormal"/>
    <w:tcPr/>
    <w:pPr>
      <w:spacing/>
    </w:pPr>
    <w:rPr>
      <w:sz w:val="24"/>
    </w:rPr>
  </w:style>
  <w:style w:type="table" w:default="0" w:styleId="tableDefault">
    <w:name w:val=""/>
    <w:tblPr>
      <w:tblStyle w:val="TableGrid"/>
      <w:tblBorders>
        <w:left w:val="single" w:sz="6" w:space="0" w:color="D6D6D6"/>
        <w:right w:val="single" w:sz="6" w:space="0" w:color="D6D6D6"/>
        <w:top w:val="single" w:sz="6" w:space="0" w:color="D6D6D6"/>
        <w:bottom w:val="single" w:sz="6" w:space="0" w:color="D6D6D6"/>
        <w:insideH w:val="single" w:sz="6" w:space="0" w:color="D6D6D6"/>
        <w:insideV w:val="single" w:sz="6" w:space="0" w:color="D6D6D6"/>
      </w:tblBorders>
      <w:tblW w:w="0" w:type="auto"/>
    </w:tblPr>
    <w:tcPr/>
  </w:style>
  <w:style w:type="table" w:default="0" w:styleId="tableHeader">
    <w:name w:val=""/>
    <w:basedOn w:val="tableDefault"/>
    <w:tcPr/>
    <w:tblStylePr w:type="firstRow">
      <w:tcPr>
        <w:shd w:val="clear" w:color="" w:fill="F5F6F7"/>
      </w:tcPr>
    </w:tblStylePr>
    <w:tblStylePr w:type="firstCol">
      <w:tcPr>
        <w:shd w:val="clear" w:color="" w:fill="F5F6F7"/>
      </w:tcPr>
    </w:tblStylePr>
  </w:style>
</w:styles>
</file>

<file path=word/_rels/document.xml.rels><?xml version="1.0" encoding="UTF-8"?>
<Relationships xmlns="http://schemas.openxmlformats.org/package/2006/relationships">
  <Relationship Id="rId5" Type="http://schemas.openxmlformats.org/officeDocument/2006/relationships/header" Target="header1.xml" />
  <Relationship Id="rId6" Type="http://schemas.openxmlformats.org/officeDocument/2006/relationships/image" Target="media/image2.png" />
  <Relationship Id="rId7" Type="http://schemas.openxmlformats.org/officeDocument/2006/relationships/image" Target="media/image3.png" />
  <Relationship Id="rId8" Type="http://schemas.openxmlformats.org/officeDocument/2006/relationships/image" Target="media/image4.png" />
  <Relationship Id="rId9" Type="http://schemas.openxmlformats.org/officeDocument/2006/relationships/image" Target="media/image5.png" />
  <Relationship Id="rId10" Type="http://schemas.openxmlformats.org/officeDocument/2006/relationships/image" Target="media/image6.png" />
  <Relationship Id="rId11" Type="http://schemas.openxmlformats.org/officeDocument/2006/relationships/image" Target="media/image7.png" />
  <Relationship Id="rId12" Type="http://schemas.openxmlformats.org/officeDocument/2006/relationships/image" Target="media/image8.png" />
  <Relationship Id="rId13" Type="http://schemas.openxmlformats.org/officeDocument/2006/relationships/image" Target="media/image9.png" />
  <Relationship Id="rId14" Type="http://schemas.openxmlformats.org/officeDocument/2006/relationships/image" Target="media/image10.png" />
  <Relationship Id="rId15" Type="http://schemas.openxmlformats.org/officeDocument/2006/relationships/image" Target="media/image11.png" />
  <Relationship Id="rId16" Type="http://schemas.openxmlformats.org/officeDocument/2006/relationships/image" Target="media/image12.png" />
  <Relationship Id="rId17" Type="http://schemas.openxmlformats.org/officeDocument/2006/relationships/image" Target="media/image13.png" />
  <Relationship Id="rId18" Type="http://schemas.openxmlformats.org/officeDocument/2006/relationships/image" Target="media/image14.png" />
  <Relationship Id="rId1" Type="http://schemas.openxmlformats.org/officeDocument/2006/relationships/styles" Target="styles.xml" />
  <Relationship Id="rId2" Type="http://schemas.openxmlformats.org/officeDocument/2006/relationships/settings" Target="settings.xml" />
  <Relationship Id="rId3" Type="http://schemas.openxmlformats.org/officeDocument/2006/relationships/numbering" Target="numbering.xml" />
</Relationships>
</file>

<file path=word/_rels/header1.xml.rels><?xml version="1.0" encoding="UTF-8"?>
<Relationships xmlns="http://schemas.openxmlformats.org/package/2006/relationships">
  <Relationship Id="rId4" Type="http://schemas.openxmlformats.org/officeDocument/2006/relationships/image" Target="media/image1.png" />
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cp:lastModifiedBy>DingTalk</cp:lastModifiedBy>
  <dcterms:modified xsi:type="dcterms:W3CDTF">1970-01-01T00:00:00Z</dcterms:modified>
  <cp:revision>1</cp:revision>
  <dc:description>DingTalk Document</dc:description>
  <dc:language>ZN_CH</dc:language>
</cp:coreProperties>
</file>