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/>
          <w:b/>
          <w:bCs/>
          <w:sz w:val="48"/>
          <w:szCs w:val="56"/>
          <w:lang w:val="en-US" w:eastAsia="zh-CN"/>
        </w:rPr>
      </w:pPr>
      <w:r>
        <w:rPr>
          <w:rFonts w:hint="eastAsia"/>
          <w:b/>
          <w:bCs/>
          <w:sz w:val="48"/>
          <w:szCs w:val="56"/>
          <w:lang w:val="en-US" w:eastAsia="zh-CN"/>
        </w:rPr>
        <w:t>仅部署预测性维护平台软件流程</w:t>
      </w:r>
    </w:p>
    <w:p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  <w:sz w:val="22"/>
          <w:szCs w:val="15"/>
          <w:lang w:val="en-US" w:eastAsia="zh-CN"/>
        </w:rPr>
      </w:pPr>
      <w:r>
        <w:rPr>
          <w:rFonts w:hint="eastAsia"/>
          <w:sz w:val="22"/>
          <w:szCs w:val="15"/>
          <w:lang w:val="en-US" w:eastAsia="zh-CN"/>
        </w:rPr>
        <w:t>注册账号</w:t>
      </w:r>
    </w:p>
    <w:p>
      <w:pPr>
        <w:ind w:firstLine="420" w:firstLineChars="200"/>
      </w:pPr>
      <w:r>
        <w:rPr>
          <w:rFonts w:hint="eastAsia"/>
        </w:rPr>
        <w:t>通过链接</w:t>
      </w:r>
      <w:r>
        <w:fldChar w:fldCharType="begin"/>
      </w:r>
      <w:r>
        <w:instrText xml:space="preserve"> HYPERLINK "https://open.joysuch.com/#/register" </w:instrText>
      </w:r>
      <w:r>
        <w:fldChar w:fldCharType="separate"/>
      </w:r>
      <w:r>
        <w:rPr>
          <w:rStyle w:val="11"/>
        </w:rPr>
        <w:t>https://open.joysuch.com/#/register</w:t>
      </w:r>
      <w:r>
        <w:rPr>
          <w:rStyle w:val="11"/>
        </w:rPr>
        <w:fldChar w:fldCharType="end"/>
      </w:r>
      <w:r>
        <w:rPr>
          <w:rFonts w:hint="eastAsia"/>
        </w:rPr>
        <w:t>进入真趣云服务注册页面，该页面是寻息开发者平台的注册地址，该页面下注册的帐号，通用于寻息、真趣各平台的云服务平台。</w:t>
      </w:r>
    </w:p>
    <w:p>
      <w:pPr>
        <w:jc w:val="center"/>
      </w:pPr>
      <w:r>
        <w:drawing>
          <wp:inline distT="0" distB="0" distL="114300" distR="114300">
            <wp:extent cx="4672330" cy="2354580"/>
            <wp:effectExtent l="0" t="0" r="4445" b="7620"/>
            <wp:docPr id="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使用者根据以上图示内容，使用手机号进行注册，并且将注册后的账号密码备份。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  <w:b/>
          <w:sz w:val="22"/>
          <w:szCs w:val="15"/>
          <w:lang w:val="en-US" w:eastAsia="zh-CN"/>
        </w:rPr>
      </w:pPr>
      <w:bookmarkStart w:id="0" w:name="_Toc28067"/>
      <w:bookmarkStart w:id="1" w:name="_Toc2389"/>
      <w:r>
        <w:rPr>
          <w:rFonts w:hint="eastAsia"/>
          <w:b/>
          <w:sz w:val="22"/>
          <w:szCs w:val="15"/>
          <w:lang w:val="en-US" w:eastAsia="zh-CN"/>
        </w:rPr>
        <w:t>创建建筑</w:t>
      </w:r>
      <w:bookmarkEnd w:id="0"/>
      <w:bookmarkEnd w:id="1"/>
    </w:p>
    <w:p>
      <w:pPr>
        <w:ind w:firstLine="420" w:firstLineChars="200"/>
      </w:pPr>
      <w:r>
        <w:rPr>
          <w:rFonts w:hint="eastAsia"/>
        </w:rPr>
        <w:t>帐号申请完毕后，通过</w:t>
      </w:r>
      <w:r>
        <w:fldChar w:fldCharType="begin"/>
      </w:r>
      <w:r>
        <w:instrText xml:space="preserve"> HYPERLINK "https://open.joysuch.com/#/login" </w:instrText>
      </w:r>
      <w:r>
        <w:fldChar w:fldCharType="separate"/>
      </w:r>
      <w:r>
        <w:rPr>
          <w:rStyle w:val="11"/>
          <w:rFonts w:hint="eastAsia"/>
        </w:rPr>
        <w:t>https://open.joysuch.com/#/login</w:t>
      </w:r>
      <w:r>
        <w:rPr>
          <w:rStyle w:val="11"/>
          <w:rFonts w:hint="eastAsia"/>
        </w:rPr>
        <w:fldChar w:fldCharType="end"/>
      </w:r>
      <w:r>
        <w:rPr>
          <w:rFonts w:hint="eastAsia"/>
        </w:rPr>
        <w:t>登录平台</w:t>
      </w:r>
    </w:p>
    <w:p>
      <w:r>
        <w:drawing>
          <wp:inline distT="0" distB="0" distL="114300" distR="114300">
            <wp:extent cx="4986655" cy="2681605"/>
            <wp:effectExtent l="0" t="0" r="4445" b="4445"/>
            <wp:docPr id="1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登录后，点击</w:t>
      </w:r>
      <w:r>
        <w:rPr>
          <w:rFonts w:hint="eastAsia"/>
          <w:b/>
          <w:bCs/>
        </w:rPr>
        <w:t>添加建筑</w:t>
      </w:r>
      <w:r>
        <w:rPr>
          <w:rFonts w:hint="eastAsia"/>
        </w:rPr>
        <w:t>，如下图所示：</w:t>
      </w:r>
    </w:p>
    <w:p>
      <w:r>
        <w:drawing>
          <wp:inline distT="0" distB="0" distL="114300" distR="114300">
            <wp:extent cx="4926330" cy="1346200"/>
            <wp:effectExtent l="0" t="0" r="7620" b="6350"/>
            <wp:docPr id="1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进行相关信息的填写：</w:t>
      </w:r>
    </w:p>
    <w:p>
      <w:r>
        <w:drawing>
          <wp:inline distT="0" distB="0" distL="114300" distR="114300">
            <wp:extent cx="5173980" cy="2325370"/>
            <wp:effectExtent l="0" t="0" r="7620" b="8255"/>
            <wp:docPr id="1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rcRect t="5067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部份建筑会要求填写</w:t>
      </w:r>
      <w:r>
        <w:rPr>
          <w:rFonts w:hint="eastAsia"/>
          <w:b/>
          <w:bCs/>
        </w:rPr>
        <w:t>楼层管理</w:t>
      </w:r>
      <w:r>
        <w:rPr>
          <w:rFonts w:hint="eastAsia"/>
        </w:rPr>
        <w:t>中的信息：</w:t>
      </w:r>
    </w:p>
    <w:p>
      <w:r>
        <w:drawing>
          <wp:inline distT="0" distB="0" distL="114300" distR="114300">
            <wp:extent cx="5168265" cy="2501900"/>
            <wp:effectExtent l="0" t="0" r="3810" b="3175"/>
            <wp:docPr id="1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如果仅是预测性维护项目（不包含寻息的人员定位服务），则此处可随意上传一张jpg格式的图片文件（建议100kB以内），然后填写随机长、宽数字。</w:t>
      </w:r>
    </w:p>
    <w:p>
      <w:r>
        <w:drawing>
          <wp:inline distT="0" distB="0" distL="114300" distR="114300">
            <wp:extent cx="5258435" cy="2213610"/>
            <wp:effectExtent l="0" t="0" r="8890" b="5715"/>
            <wp:docPr id="2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  <w:b/>
          <w:sz w:val="22"/>
          <w:szCs w:val="15"/>
          <w:lang w:val="en-US" w:eastAsia="zh-CN"/>
        </w:rPr>
      </w:pPr>
      <w:bookmarkStart w:id="2" w:name="_Toc1612"/>
      <w:r>
        <w:rPr>
          <w:rFonts w:hint="eastAsia"/>
          <w:b/>
          <w:sz w:val="22"/>
          <w:szCs w:val="15"/>
          <w:lang w:val="en-US" w:eastAsia="zh-CN"/>
        </w:rPr>
        <w:t>授权申请</w:t>
      </w:r>
      <w:bookmarkEnd w:id="2"/>
    </w:p>
    <w:p>
      <w:pPr>
        <w:pStyle w:val="12"/>
        <w:numPr>
          <w:ilvl w:val="0"/>
          <w:numId w:val="3"/>
        </w:numPr>
      </w:pPr>
      <w:r>
        <w:rPr>
          <w:rFonts w:hint="eastAsia"/>
        </w:rPr>
        <w:t>登录ERP使用刮刮卡默认授权，操作方式同定位和信息化平台项目。</w:t>
      </w:r>
    </w:p>
    <w:p>
      <w:r>
        <w:rPr>
          <w:rFonts w:hint="eastAsia"/>
        </w:rPr>
        <w:t>注：</w:t>
      </w:r>
      <w:r>
        <w:rPr>
          <w:rFonts w:hint="eastAsia"/>
          <w:highlight w:val="yellow"/>
        </w:rPr>
        <w:t>如此项目无3D地图，则不勾选“工厂驾驶舱”</w:t>
      </w:r>
      <w:r>
        <w:rPr>
          <w:rFonts w:hint="eastAsia"/>
        </w:rPr>
        <w:t>。</w:t>
      </w:r>
    </w:p>
    <w:p>
      <w:pPr>
        <w:pStyle w:val="6"/>
      </w:pPr>
    </w:p>
    <w:p>
      <w:pPr>
        <w:pStyle w:val="6"/>
        <w:jc w:val="center"/>
      </w:pPr>
      <w:r>
        <w:rPr>
          <w:rFonts w:hint="eastAsia"/>
        </w:rPr>
        <w:drawing>
          <wp:inline distT="0" distB="0" distL="114300" distR="114300">
            <wp:extent cx="4272915" cy="2023745"/>
            <wp:effectExtent l="0" t="0" r="3810" b="5080"/>
            <wp:docPr id="21" name="图片 21" descr="fd879e1158b213d6a5125ebdd8da71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d879e1158b213d6a5125ebdd8da714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2915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3"/>
        </w:numPr>
      </w:pPr>
      <w:r>
        <w:rPr>
          <w:rFonts w:hint="eastAsia"/>
        </w:rPr>
        <w:t>登录erp 系统申请系统授权，此方法需要销售助理人工审批；</w:t>
      </w:r>
    </w:p>
    <w:p>
      <w:r>
        <w:rPr>
          <w:rFonts w:hint="eastAsia"/>
        </w:rPr>
        <w:t>注：申请时只勾选应用licence，licence类型选择本地，应用类型选择“设备状态监测与故障诊断”，权限列表默认全选，如此项目无3D地图，则不勾选“工厂驾驶舱”。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rFonts w:hint="eastAsia"/>
        </w:rPr>
        <w:drawing>
          <wp:inline distT="0" distB="0" distL="114300" distR="114300">
            <wp:extent cx="4199255" cy="1906905"/>
            <wp:effectExtent l="0" t="0" r="1270" b="7620"/>
            <wp:docPr id="58" name="图片 58" descr="9310cc6737f80ecc1818399c045f2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9310cc6737f80ecc1818399c045f24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9255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3"/>
        </w:numPr>
      </w:pPr>
      <w:r>
        <w:rPr>
          <w:rFonts w:hint="eastAsia"/>
        </w:rPr>
        <w:t>登录授权系统申请，此方法为自动审核，选择内容与方法2一致。</w:t>
      </w:r>
    </w:p>
    <w:p>
      <w:pPr>
        <w:pStyle w:val="2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bookmarkStart w:id="3" w:name="_Toc22002"/>
      <w:r>
        <w:rPr>
          <w:rFonts w:hint="eastAsia"/>
          <w:lang w:val="en-US" w:eastAsia="zh-CN"/>
        </w:rPr>
        <w:t>本地服务器软件部署</w:t>
      </w:r>
    </w:p>
    <w:tbl>
      <w:tblPr>
        <w:tblStyle w:val="8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5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cs="微软雅黑"/>
                <w:b/>
                <w:bCs/>
                <w:color w:val="FFFFFF"/>
                <w:sz w:val="21"/>
                <w:szCs w:val="24"/>
                <w:lang w:val="en-US"/>
              </w:rPr>
            </w:pPr>
            <w:r>
              <w:rPr>
                <w:rStyle w:val="13"/>
                <w:rFonts w:cs="微软雅黑"/>
                <w:b/>
                <w:bCs/>
                <w:color w:val="FFFFFF"/>
                <w:kern w:val="2"/>
                <w:sz w:val="21"/>
                <w:szCs w:val="24"/>
                <w:lang w:val="en-US" w:eastAsia="zh-CN" w:bidi="ar"/>
              </w:rPr>
              <w:t>操作系统</w:t>
            </w:r>
          </w:p>
        </w:tc>
        <w:tc>
          <w:tcPr>
            <w:tcW w:w="3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center"/>
              <w:rPr>
                <w:rFonts w:hint="default" w:cs="微软雅黑"/>
                <w:b/>
                <w:bCs/>
                <w:color w:val="FFFFFF"/>
                <w:sz w:val="21"/>
                <w:szCs w:val="24"/>
                <w:lang w:val="en-US"/>
              </w:rPr>
            </w:pPr>
            <w:r>
              <w:rPr>
                <w:rStyle w:val="13"/>
                <w:rFonts w:cs="微软雅黑"/>
                <w:b/>
                <w:bCs/>
                <w:color w:val="FFFFFF"/>
                <w:kern w:val="2"/>
                <w:sz w:val="21"/>
                <w:szCs w:val="24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both"/>
              <w:rPr>
                <w:rFonts w:hint="default" w:cs="微软雅黑"/>
                <w:sz w:val="21"/>
                <w:szCs w:val="24"/>
                <w:lang w:val="en-US"/>
              </w:rPr>
            </w:pPr>
            <w:r>
              <w:rPr>
                <w:rStyle w:val="13"/>
                <w:rFonts w:cs="微软雅黑"/>
                <w:color w:val="auto"/>
                <w:kern w:val="2"/>
                <w:sz w:val="21"/>
                <w:szCs w:val="24"/>
                <w:lang w:val="en-US" w:eastAsia="zh-CN" w:bidi="ar"/>
              </w:rPr>
              <w:t>使用真趣提供的Ubuntu22.04系统镜像</w:t>
            </w:r>
          </w:p>
        </w:tc>
        <w:tc>
          <w:tcPr>
            <w:tcW w:w="3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both"/>
              <w:rPr>
                <w:rFonts w:hint="default" w:cs="微软雅黑"/>
                <w:sz w:val="21"/>
                <w:szCs w:val="24"/>
                <w:lang w:val="en-US"/>
              </w:rPr>
            </w:pPr>
            <w:r>
              <w:rPr>
                <w:rStyle w:val="13"/>
                <w:rFonts w:cs="微软雅黑"/>
                <w:color w:val="auto"/>
                <w:kern w:val="2"/>
                <w:sz w:val="21"/>
                <w:szCs w:val="24"/>
                <w:lang w:val="en-US" w:eastAsia="zh-CN" w:bidi="ar"/>
              </w:rPr>
              <w:t>安装过程参考真趣提供的操作说明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both"/>
              <w:rPr>
                <w:rFonts w:hint="default" w:cs="微软雅黑"/>
                <w:sz w:val="21"/>
                <w:szCs w:val="24"/>
                <w:lang w:val="en-US"/>
              </w:rPr>
            </w:pPr>
            <w:r>
              <w:rPr>
                <w:rStyle w:val="13"/>
                <w:rFonts w:cs="微软雅黑"/>
                <w:color w:val="auto"/>
                <w:kern w:val="2"/>
                <w:sz w:val="21"/>
                <w:szCs w:val="24"/>
                <w:lang w:val="en-US" w:eastAsia="zh-CN" w:bidi="ar"/>
              </w:rPr>
              <w:t>使用非真趣提供镜像安装</w:t>
            </w:r>
          </w:p>
        </w:tc>
        <w:tc>
          <w:tcPr>
            <w:tcW w:w="3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both"/>
              <w:rPr>
                <w:rFonts w:hint="default" w:cs="微软雅黑"/>
                <w:sz w:val="21"/>
                <w:szCs w:val="24"/>
                <w:lang w:val="en-US"/>
              </w:rPr>
            </w:pPr>
            <w:r>
              <w:rPr>
                <w:rStyle w:val="13"/>
                <w:rFonts w:cs="微软雅黑"/>
                <w:color w:val="auto"/>
                <w:kern w:val="2"/>
                <w:sz w:val="21"/>
                <w:szCs w:val="24"/>
                <w:lang w:val="en-US" w:eastAsia="zh-CN" w:bidi="ar"/>
              </w:rPr>
              <w:t>目前支持Ubuntu22.04系统</w:t>
            </w:r>
          </w:p>
        </w:tc>
      </w:tr>
    </w:tbl>
    <w:p>
      <w:pPr>
        <w:pStyle w:val="3"/>
        <w:numPr>
          <w:ilvl w:val="0"/>
          <w:numId w:val="4"/>
        </w:numPr>
        <w:bidi w:val="0"/>
        <w:ind w:left="0" w:leftChars="0" w:firstLine="480" w:firstLineChars="200"/>
        <w:rPr>
          <w:lang w:val="en-US"/>
        </w:rPr>
      </w:pPr>
      <w:bookmarkStart w:id="4" w:name="_Toc19165"/>
      <w:r>
        <w:rPr>
          <w:lang w:eastAsia="zh-CN"/>
        </w:rPr>
        <w:t>从云盘获取安装包</w:t>
      </w:r>
      <w:bookmarkEnd w:id="4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eastAsia" w:ascii="Times New Roman" w:hAnsi="Times New Roman" w:eastAsia="微软雅黑" w:cs="微软雅黑"/>
          <w:snapToGrid/>
          <w:color w:val="C00000"/>
          <w:kern w:val="2"/>
          <w:sz w:val="24"/>
          <w:szCs w:val="24"/>
          <w:lang w:val="en-US" w:eastAsia="zh-CN" w:bidi="ar"/>
        </w:rPr>
        <w:t>注意！注意！注意！本地版包名开头为：</w:t>
      </w:r>
      <w:r>
        <w:rPr>
          <w:rFonts w:hint="default" w:ascii="Times New Roman" w:hAnsi="Times New Roman" w:eastAsia="微软雅黑" w:cs="Times New Roman"/>
          <w:snapToGrid/>
          <w:color w:val="C00000"/>
          <w:kern w:val="2"/>
          <w:sz w:val="24"/>
          <w:szCs w:val="24"/>
          <w:lang w:val="en-US" w:eastAsia="zh-CN" w:bidi="ar"/>
        </w:rPr>
        <w:t>JS-EMAS-F</w:t>
      </w:r>
      <w:r>
        <w:rPr>
          <w:rFonts w:hint="eastAsia" w:ascii="Times New Roman" w:hAnsi="Times New Roman" w:eastAsia="微软雅黑" w:cs="微软雅黑"/>
          <w:snapToGrid/>
          <w:color w:val="C00000"/>
          <w:kern w:val="2"/>
          <w:sz w:val="24"/>
          <w:szCs w:val="24"/>
          <w:lang w:val="en-US" w:eastAsia="zh-CN" w:bidi="ar"/>
        </w:rPr>
        <w:t>，文件名包含</w:t>
      </w:r>
      <w:r>
        <w:rPr>
          <w:rFonts w:hint="default" w:ascii="Times New Roman" w:hAnsi="Times New Roman" w:eastAsia="微软雅黑" w:cs="Times New Roman"/>
          <w:snapToGrid/>
          <w:color w:val="C00000"/>
          <w:kern w:val="2"/>
          <w:sz w:val="24"/>
          <w:szCs w:val="24"/>
          <w:lang w:val="en-US" w:eastAsia="zh-CN" w:bidi="ar"/>
        </w:rPr>
        <w:t>Ubuntu</w:t>
      </w:r>
      <w:r>
        <w:rPr>
          <w:rFonts w:hint="eastAsia" w:ascii="Times New Roman" w:hAnsi="Times New Roman" w:eastAsia="微软雅黑" w:cs="微软雅黑"/>
          <w:snapToGrid/>
          <w:color w:val="C00000"/>
          <w:kern w:val="2"/>
          <w:sz w:val="24"/>
          <w:szCs w:val="24"/>
          <w:lang w:val="en-US" w:eastAsia="zh-CN" w:bidi="ar"/>
        </w:rPr>
        <w:t>字样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fldChar w:fldCharType="begin"/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instrText xml:space="preserve"> HYPERLINK "https://pan.seekcy.com/v/list/ent/121489" </w:instrTex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fldChar w:fldCharType="separate"/>
      </w:r>
      <w:r>
        <w:rPr>
          <w:rStyle w:val="10"/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https://pan.seekcy.com/v/list/ent/121489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273040" cy="1852930"/>
            <wp:effectExtent l="0" t="0" r="381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eastAsia" w:ascii="Times New Roman" w:hAnsi="Times New Roman" w:eastAsia="微软雅黑" w:cs="微软雅黑"/>
          <w:snapToGrid/>
          <w:color w:val="FF0000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微软雅黑" w:cs="微软雅黑"/>
          <w:snapToGrid/>
          <w:color w:val="FF0000"/>
          <w:kern w:val="2"/>
          <w:sz w:val="24"/>
          <w:szCs w:val="24"/>
          <w:lang w:val="en-US" w:eastAsia="zh-CN" w:bidi="ar"/>
        </w:rPr>
        <w:t>注意：</w:t>
      </w:r>
      <w:r>
        <w:rPr>
          <w:rFonts w:hint="default" w:ascii="Times New Roman" w:hAnsi="Times New Roman" w:eastAsia="微软雅黑" w:cs="Times New Roman"/>
          <w:snapToGrid/>
          <w:color w:val="FF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微软雅黑"/>
          <w:snapToGrid/>
          <w:color w:val="FF0000"/>
          <w:kern w:val="2"/>
          <w:sz w:val="24"/>
          <w:szCs w:val="24"/>
          <w:lang w:val="en-US" w:eastAsia="zh-CN" w:bidi="ar"/>
        </w:rPr>
        <w:t>所有操作均通过</w:t>
      </w:r>
      <w:r>
        <w:rPr>
          <w:rFonts w:hint="default" w:ascii="Times New Roman" w:hAnsi="Times New Roman" w:eastAsia="微软雅黑" w:cs="Times New Roman"/>
          <w:snapToGrid/>
          <w:color w:val="FF0000"/>
          <w:kern w:val="2"/>
          <w:sz w:val="24"/>
          <w:szCs w:val="24"/>
          <w:lang w:val="en-US" w:eastAsia="zh-CN" w:bidi="ar"/>
        </w:rPr>
        <w:t>root</w:t>
      </w:r>
      <w:r>
        <w:rPr>
          <w:rFonts w:hint="eastAsia" w:ascii="Times New Roman" w:hAnsi="Times New Roman" w:eastAsia="微软雅黑" w:cs="微软雅黑"/>
          <w:snapToGrid/>
          <w:color w:val="FF0000"/>
          <w:kern w:val="2"/>
          <w:sz w:val="24"/>
          <w:szCs w:val="24"/>
          <w:lang w:val="en-US" w:eastAsia="zh-CN" w:bidi="ar"/>
        </w:rPr>
        <w:t>账户完成，无需单独创建</w:t>
      </w:r>
      <w:r>
        <w:rPr>
          <w:rFonts w:hint="default" w:ascii="Times New Roman" w:hAnsi="Times New Roman" w:eastAsia="微软雅黑" w:cs="Times New Roman"/>
          <w:snapToGrid/>
          <w:color w:val="FF0000"/>
          <w:kern w:val="2"/>
          <w:sz w:val="24"/>
          <w:szCs w:val="24"/>
          <w:lang w:val="en-US" w:eastAsia="zh-CN" w:bidi="ar"/>
        </w:rPr>
        <w:t>seekcy</w:t>
      </w:r>
      <w:r>
        <w:rPr>
          <w:rFonts w:hint="eastAsia" w:ascii="Times New Roman" w:hAnsi="Times New Roman" w:eastAsia="微软雅黑" w:cs="微软雅黑"/>
          <w:snapToGrid/>
          <w:color w:val="FF0000"/>
          <w:kern w:val="2"/>
          <w:sz w:val="24"/>
          <w:szCs w:val="24"/>
          <w:lang w:val="en-US" w:eastAsia="zh-CN" w:bidi="ar"/>
        </w:rPr>
        <w:t>账户</w:t>
      </w:r>
    </w:p>
    <w:p>
      <w:pPr>
        <w:pStyle w:val="3"/>
        <w:numPr>
          <w:ilvl w:val="0"/>
          <w:numId w:val="4"/>
        </w:numPr>
        <w:bidi w:val="0"/>
        <w:ind w:left="0" w:leftChars="0" w:firstLine="480" w:firstLineChars="200"/>
        <w:rPr>
          <w:rFonts w:hint="eastAsia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安装本地平台软件</w:t>
      </w:r>
    </w:p>
    <w:p>
      <w:pPr>
        <w:keepNext w:val="0"/>
        <w:keepLines w:val="0"/>
        <w:widowControl w:val="0"/>
        <w:numPr>
          <w:ilvl w:val="0"/>
          <w:numId w:val="5"/>
        </w:numPr>
        <w:suppressLineNumbers w:val="0"/>
        <w:adjustRightInd w:val="0"/>
        <w:snapToGrid w:val="0"/>
        <w:spacing w:before="0" w:beforeAutospacing="0" w:after="0" w:afterAutospacing="0" w:line="288" w:lineRule="auto"/>
        <w:ind w:left="0" w:leftChars="0" w:right="0" w:firstLine="400" w:firstLineChars="0"/>
        <w:jc w:val="both"/>
        <w:rPr>
          <w:lang w:val="en-US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将压缩包文件使用工具上传到服务器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/root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目录；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2405" cy="1133475"/>
            <wp:effectExtent l="0" t="0" r="444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numPr>
          <w:ilvl w:val="0"/>
          <w:numId w:val="5"/>
        </w:numPr>
        <w:suppressLineNumbers w:val="0"/>
        <w:adjustRightInd w:val="0"/>
        <w:snapToGrid w:val="0"/>
        <w:spacing w:before="0" w:beforeAutospacing="0" w:after="0" w:afterAutospacing="0" w:line="288" w:lineRule="auto"/>
        <w:ind w:left="0" w:leftChars="0" w:right="0" w:firstLine="400" w:firstLineChars="0"/>
        <w:jc w:val="both"/>
        <w:rPr>
          <w:rFonts w:eastAsia="宋体"/>
          <w:lang w:val="en-US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使用工具连接服务器，输入命令：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tar -zxvf JS-EMAS-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版本号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日期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 xml:space="preserve">-R.tar.gz 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解压文件；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2405" cy="328930"/>
            <wp:effectExtent l="0" t="0" r="4445" b="444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2405" cy="1333500"/>
            <wp:effectExtent l="0" t="0" r="444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numPr>
          <w:ilvl w:val="0"/>
          <w:numId w:val="5"/>
        </w:numPr>
        <w:suppressLineNumbers w:val="0"/>
        <w:adjustRightInd w:val="0"/>
        <w:snapToGrid w:val="0"/>
        <w:spacing w:before="0" w:beforeAutospacing="0" w:after="0" w:afterAutospacing="0" w:line="288" w:lineRule="auto"/>
        <w:ind w:left="0" w:leftChars="0" w:right="0" w:firstLine="400" w:firstLineChars="0"/>
        <w:jc w:val="both"/>
        <w:rPr>
          <w:rFonts w:eastAsia="宋体"/>
          <w:lang w:val="en-US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输入命令：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 xml:space="preserve"> cd JS-EMAS-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版本号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日期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-R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进入文件夹；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2405" cy="1891030"/>
            <wp:effectExtent l="0" t="0" r="4445" b="444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numPr>
          <w:ilvl w:val="0"/>
          <w:numId w:val="5"/>
        </w:numPr>
        <w:suppressLineNumbers w:val="0"/>
        <w:adjustRightInd w:val="0"/>
        <w:snapToGrid w:val="0"/>
        <w:spacing w:before="0" w:beforeAutospacing="0" w:after="0" w:afterAutospacing="0" w:line="288" w:lineRule="auto"/>
        <w:ind w:left="0" w:leftChars="0" w:right="0" w:firstLine="400" w:firstLineChars="0"/>
        <w:jc w:val="both"/>
        <w:rPr>
          <w:lang w:val="en-US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输入命令：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sh setUp.sh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执行脚本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如下图所示，确认是独立服务器安装的模式，输入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”Y”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继续安装，如果不是独立服务器安装的模式，输入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”N”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退出安装</w:t>
      </w:r>
      <w:r>
        <w:rPr>
          <w:rFonts w:hint="default" w:ascii="Times New Roman" w:hAnsi="Times New Roman" w:eastAsia="微软雅黑" w:cs="Times New Roman"/>
          <w:snapToGrid/>
          <w:color w:val="FF0000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Times New Roman" w:hAnsi="Times New Roman" w:eastAsia="微软雅黑" w:cs="微软雅黑"/>
          <w:snapToGrid/>
          <w:color w:val="FF0000"/>
          <w:kern w:val="2"/>
          <w:sz w:val="24"/>
          <w:szCs w:val="24"/>
          <w:lang w:val="en-US" w:eastAsia="zh-CN" w:bidi="ar"/>
        </w:rPr>
        <w:t>如果输入了</w:t>
      </w:r>
      <w:r>
        <w:rPr>
          <w:rFonts w:hint="default" w:ascii="Times New Roman" w:hAnsi="Times New Roman" w:eastAsia="微软雅黑" w:cs="Times New Roman"/>
          <w:snapToGrid/>
          <w:color w:val="FF0000"/>
          <w:kern w:val="2"/>
          <w:sz w:val="24"/>
          <w:szCs w:val="24"/>
          <w:lang w:val="en-US" w:eastAsia="zh-CN" w:bidi="ar"/>
        </w:rPr>
        <w:t>y</w:t>
      </w:r>
      <w:r>
        <w:rPr>
          <w:rFonts w:hint="eastAsia" w:ascii="Times New Roman" w:hAnsi="Times New Roman" w:eastAsia="微软雅黑" w:cs="微软雅黑"/>
          <w:snapToGrid/>
          <w:color w:val="FF0000"/>
          <w:kern w:val="2"/>
          <w:sz w:val="24"/>
          <w:szCs w:val="24"/>
          <w:lang w:val="en-US" w:eastAsia="zh-CN" w:bidi="ar"/>
        </w:rPr>
        <w:t>但是不想继续安装，可以输入</w:t>
      </w:r>
      <w:r>
        <w:rPr>
          <w:rFonts w:hint="default" w:ascii="Times New Roman" w:hAnsi="Times New Roman" w:eastAsia="微软雅黑" w:cs="Times New Roman"/>
          <w:snapToGrid/>
          <w:color w:val="FF0000"/>
          <w:kern w:val="2"/>
          <w:sz w:val="24"/>
          <w:szCs w:val="24"/>
          <w:lang w:val="en-US" w:eastAsia="zh-CN" w:bidi="ar"/>
        </w:rPr>
        <w:t>ctrl+c</w:t>
      </w:r>
      <w:r>
        <w:rPr>
          <w:rFonts w:hint="eastAsia" w:ascii="Times New Roman" w:hAnsi="Times New Roman" w:eastAsia="微软雅黑" w:cs="微软雅黑"/>
          <w:snapToGrid/>
          <w:color w:val="FF0000"/>
          <w:kern w:val="2"/>
          <w:sz w:val="24"/>
          <w:szCs w:val="24"/>
          <w:lang w:val="en-US" w:eastAsia="zh-CN" w:bidi="ar"/>
        </w:rPr>
        <w:t>退出安装</w:t>
      </w:r>
      <w:r>
        <w:rPr>
          <w:rFonts w:hint="default" w:ascii="Times New Roman" w:hAnsi="Times New Roman" w:eastAsia="微软雅黑" w:cs="Times New Roman"/>
          <w:snapToGrid/>
          <w:color w:val="FF0000"/>
          <w:kern w:val="2"/>
          <w:sz w:val="24"/>
          <w:szCs w:val="24"/>
          <w:lang w:val="en-US" w:eastAsia="zh-CN" w:bidi="ar"/>
        </w:rPr>
        <w:t>)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2405" cy="1114425"/>
            <wp:effectExtent l="0" t="0" r="4445" b="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480" w:firstLineChars="200"/>
        <w:jc w:val="both"/>
        <w:textAlignment w:val="auto"/>
        <w:rPr>
          <w:lang w:val="en-US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整个执行过程耗时较长，请耐心等待，出现如下截图表示安装成功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67325" cy="1881505"/>
            <wp:effectExtent l="0" t="0" r="0" b="444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bidi w:val="0"/>
        <w:ind w:left="0" w:leftChars="0" w:firstLine="480" w:firstLineChars="200"/>
        <w:rPr>
          <w:rFonts w:hint="eastAsia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上传脚本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微软雅黑" w:cs="微软雅黑"/>
          <w:sz w:val="24"/>
          <w:szCs w:val="24"/>
          <w:lang w:val="en-US" w:bidi="ar"/>
        </w:rPr>
      </w:pP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在服务器</w:t>
      </w:r>
      <w:r>
        <w:rPr>
          <w:rFonts w:hint="default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/home/seekcy</w:t>
      </w: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目录下，新建一个</w:t>
      </w:r>
      <w:r>
        <w:rPr>
          <w:rFonts w:hint="default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independence</w:t>
      </w: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文件夹，将以下两个文件上传至</w:t>
      </w:r>
      <w:r>
        <w:rPr>
          <w:rFonts w:hint="default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independence</w:t>
      </w: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文件夹。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object>
          <v:shape id="_x0000_i1025" o:spt="75" type="#_x0000_t75" style="height:65.25pt;width:72.4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Package" ShapeID="_x0000_i1025" DrawAspect="Icon" ObjectID="_1468075725" r:id="rId20">
            <o:LockedField>false</o:LockedField>
          </o:OLEObject>
        </w:objec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object>
          <v:shape id="_x0000_i1026" o:spt="75" type="#_x0000_t75" style="height:65.25pt;width:72.4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Package" ShapeID="_x0000_i1026" DrawAspect="Icon" ObjectID="_1468075726" r:id="rId22">
            <o:LockedField>false</o:LockedField>
          </o:OLEObject>
        </w:objec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微软雅黑" w:cs="微软雅黑"/>
          <w:sz w:val="24"/>
          <w:szCs w:val="24"/>
          <w:lang w:val="en-US" w:bidi="ar"/>
        </w:rPr>
      </w:pP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进入文件夹</w:t>
      </w:r>
      <w:r>
        <w:rPr>
          <w:rFonts w:hint="default" w:ascii="Times New Roman" w:hAnsi="Times New Roman" w:eastAsia="微软雅黑" w:cs="微软雅黑"/>
          <w:b/>
          <w:bCs/>
          <w:kern w:val="2"/>
          <w:sz w:val="24"/>
          <w:szCs w:val="24"/>
          <w:highlight w:val="lightGray"/>
          <w:shd w:val="clear" w:color="FFFFFF" w:fill="D9D9D9"/>
          <w:lang w:val="en-US" w:eastAsia="zh-CN" w:bidi="ar"/>
        </w:rPr>
        <w:t>cd /home/seekcy/independence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微软雅黑" w:cs="微软雅黑"/>
          <w:sz w:val="24"/>
          <w:szCs w:val="24"/>
          <w:highlight w:val="lightGray"/>
          <w:lang w:val="en-US" w:bidi="ar"/>
        </w:rPr>
      </w:pP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执      行</w:t>
      </w:r>
      <w:r>
        <w:rPr>
          <w:rFonts w:hint="default" w:ascii="Times New Roman" w:hAnsi="Times New Roman" w:eastAsia="微软雅黑" w:cs="微软雅黑"/>
          <w:b/>
          <w:bCs/>
          <w:kern w:val="2"/>
          <w:sz w:val="24"/>
          <w:szCs w:val="24"/>
          <w:highlight w:val="lightGray"/>
          <w:shd w:val="clear" w:color="FFFFFF" w:fill="D9D9D9"/>
          <w:lang w:val="en-US" w:eastAsia="zh-CN" w:bidi="ar"/>
        </w:rPr>
        <w:t>sh updateUser.sh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480" w:firstLineChars="200"/>
        <w:jc w:val="both"/>
        <w:textAlignment w:val="auto"/>
        <w:rPr>
          <w:rFonts w:hint="default" w:ascii="Times New Roman" w:hAnsi="Times New Roman" w:eastAsia="微软雅黑" w:cs="微软雅黑"/>
          <w:sz w:val="24"/>
          <w:szCs w:val="24"/>
          <w:lang w:val="en-US" w:bidi="ar"/>
        </w:rPr>
      </w:pP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执行后，可正常通过</w:t>
      </w:r>
      <w:r>
        <w:rPr>
          <w:rFonts w:hint="default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8007</w:t>
      </w: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和</w:t>
      </w:r>
      <w:r>
        <w:rPr>
          <w:rFonts w:hint="default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8119</w:t>
      </w: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进行访问物联网平台和设备预测性维护平台。</w:t>
      </w:r>
    </w:p>
    <w:p>
      <w:pPr>
        <w:pStyle w:val="3"/>
        <w:numPr>
          <w:ilvl w:val="0"/>
          <w:numId w:val="4"/>
        </w:numPr>
        <w:bidi w:val="0"/>
        <w:ind w:left="0" w:leftChars="0" w:firstLine="480" w:firstLineChars="200"/>
        <w:rPr>
          <w:rFonts w:hint="eastAsia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修改配置文件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default" w:ascii="Times New Roman" w:hAnsi="Times New Roman" w:eastAsia="微软雅黑" w:cs="微软雅黑"/>
          <w:sz w:val="24"/>
          <w:szCs w:val="24"/>
          <w:lang w:val="en-US" w:bidi="ar"/>
        </w:rPr>
      </w:pP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进入配置文件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 w:firstLineChars="0"/>
        <w:jc w:val="both"/>
        <w:textAlignment w:val="auto"/>
        <w:rPr>
          <w:rFonts w:ascii="宋体" w:hAnsi="宋体" w:eastAsia="宋体" w:cs="宋体"/>
          <w:sz w:val="24"/>
          <w:szCs w:val="24"/>
          <w:woUserID w:val="2"/>
        </w:rPr>
      </w:pPr>
      <w:r>
        <w:rPr>
          <w:rFonts w:hint="default" w:ascii="Times New Roman" w:hAnsi="Times New Roman" w:eastAsia="微软雅黑" w:cs="微软雅黑"/>
          <w:b/>
          <w:bCs/>
          <w:kern w:val="2"/>
          <w:sz w:val="24"/>
          <w:szCs w:val="24"/>
          <w:highlight w:val="lightGray"/>
          <w:shd w:val="clear" w:color="FFFFFF" w:fill="D9D9D9"/>
          <w:lang w:val="en-US" w:eastAsia="zh-CN" w:bidi="ar"/>
        </w:rPr>
        <w:t xml:space="preserve">cd /home/seekcy/iot-platform/iot-monolith/application-proLocal.yml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 w:firstLineChars="0"/>
        <w:jc w:val="both"/>
        <w:textAlignment w:val="auto"/>
        <w:rPr>
          <w:rFonts w:hint="default" w:ascii="Times New Roman" w:hAnsi="Times New Roman" w:eastAsia="微软雅黑" w:cs="微软雅黑"/>
          <w:b/>
          <w:bCs/>
          <w:kern w:val="2"/>
          <w:sz w:val="24"/>
          <w:szCs w:val="24"/>
          <w:highlight w:val="lightGray"/>
          <w:shd w:val="clear" w:color="FFFFFF" w:fill="D9D9D9"/>
          <w:lang w:val="en-US" w:eastAsia="zh-CN" w:bidi="ar"/>
        </w:rPr>
      </w:pPr>
      <w:r>
        <w:rPr>
          <w:rFonts w:hint="default" w:ascii="Times New Roman" w:hAnsi="Times New Roman" w:eastAsia="微软雅黑" w:cs="微软雅黑"/>
          <w:b/>
          <w:bCs/>
          <w:kern w:val="2"/>
          <w:sz w:val="15"/>
          <w:szCs w:val="15"/>
          <w:highlight w:val="lightGray"/>
          <w:shd w:val="clear" w:color="FFFFFF" w:fill="D9D9D9"/>
          <w:lang w:eastAsia="zh-CN" w:bidi="ar"/>
          <w:woUserID w:val="2"/>
        </w:rPr>
        <w:t>备注：如果部署的是集团版，则配置文件的路径为cd /h</w:t>
      </w:r>
      <w:bookmarkStart w:id="5" w:name="_GoBack"/>
      <w:bookmarkEnd w:id="5"/>
      <w:r>
        <w:rPr>
          <w:rFonts w:hint="default" w:ascii="Times New Roman" w:hAnsi="Times New Roman" w:eastAsia="微软雅黑" w:cs="微软雅黑"/>
          <w:b/>
          <w:bCs/>
          <w:kern w:val="2"/>
          <w:sz w:val="15"/>
          <w:szCs w:val="15"/>
          <w:highlight w:val="lightGray"/>
          <w:shd w:val="clear" w:color="FFFFFF" w:fill="D9D9D9"/>
          <w:lang w:val="en-US" w:eastAsia="zh-CN" w:bidi="ar"/>
        </w:rPr>
        <w:t>ome/seekcy/iot-platform/gateway-server/config/application-proLocal.yml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default" w:ascii="Times New Roman" w:hAnsi="Times New Roman" w:eastAsia="微软雅黑" w:cs="微软雅黑"/>
          <w:sz w:val="24"/>
          <w:szCs w:val="24"/>
          <w:lang w:val="en-US" w:bidi="ar"/>
        </w:rPr>
      </w:pP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确认</w:t>
      </w:r>
      <w:r>
        <w:rPr>
          <w:rFonts w:hint="default" w:ascii="Times New Roman" w:hAnsi="Times New Roman" w:eastAsia="微软雅黑" w:cs="微软雅黑"/>
          <w:b/>
          <w:bCs/>
          <w:kern w:val="2"/>
          <w:sz w:val="24"/>
          <w:szCs w:val="24"/>
          <w:lang w:val="en-US" w:eastAsia="zh-CN" w:bidi="ar"/>
        </w:rPr>
        <w:t>enable</w:t>
      </w:r>
      <w:r>
        <w:rPr>
          <w:rFonts w:hint="eastAsia" w:ascii="Times New Roman" w:hAnsi="Times New Roman" w:eastAsia="微软雅黑" w:cs="微软雅黑"/>
          <w:b/>
          <w:bCs/>
          <w:kern w:val="2"/>
          <w:sz w:val="24"/>
          <w:szCs w:val="24"/>
          <w:lang w:val="en-US" w:eastAsia="zh-CN" w:bidi="ar"/>
        </w:rPr>
        <w:t>为</w:t>
      </w:r>
      <w:r>
        <w:rPr>
          <w:rFonts w:hint="default" w:ascii="Times New Roman" w:hAnsi="Times New Roman" w:eastAsia="微软雅黑" w:cs="微软雅黑"/>
          <w:b/>
          <w:bCs/>
          <w:kern w:val="2"/>
          <w:sz w:val="24"/>
          <w:szCs w:val="24"/>
          <w:lang w:val="en-US" w:eastAsia="zh-CN" w:bidi="ar"/>
        </w:rPr>
        <w:t>true</w:t>
      </w:r>
      <w:r>
        <w:rPr>
          <w:rFonts w:hint="eastAsia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t>（都下图所示），如没有下图所示代码，则需要手动添加：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default" w:ascii="Times New Roman" w:hAnsi="Times New Roman" w:eastAsia="微软雅黑" w:cs="微软雅黑"/>
          <w:sz w:val="24"/>
          <w:szCs w:val="24"/>
          <w:lang w:val="en-US" w:bidi="ar"/>
        </w:rPr>
      </w:pPr>
      <w:r>
        <w:rPr>
          <w:rFonts w:hint="default" w:ascii="Times New Roman" w:hAnsi="Times New Roman" w:eastAsia="微软雅黑" w:cs="微软雅黑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2405" cy="3429000"/>
            <wp:effectExtent l="0" t="0" r="444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bidi w:val="0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添加预测性维护平台云端License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这一步的目的在于开通云端诊断的授权，以及打开预测性维护、物联网平台相关功能的权限。</w:t>
      </w:r>
    </w:p>
    <w:p>
      <w:pPr>
        <w:pStyle w:val="3"/>
        <w:numPr>
          <w:ilvl w:val="0"/>
          <w:numId w:val="6"/>
        </w:numPr>
        <w:bidi w:val="0"/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登录云端预测性维护平台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通过浏览器打开</w:t>
      </w:r>
      <w:r>
        <w:rPr>
          <w:rFonts w:hint="default"/>
          <w:lang w:val="en-US" w:eastAsia="zh-CN"/>
        </w:rPr>
        <w:t>https://emas.joysuch.com/#/login</w:t>
      </w:r>
      <w:r>
        <w:rPr>
          <w:rFonts w:hint="eastAsia"/>
          <w:lang w:val="en-US" w:eastAsia="zh-CN"/>
        </w:rPr>
        <w:t>链接，使用第一章注册的开放平台帐号进行登录。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2292350"/>
            <wp:effectExtent l="0" t="0" r="8890" b="3175"/>
            <wp:docPr id="1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6"/>
        </w:numPr>
        <w:bidi w:val="0"/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上传License</w:t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在打开的页面点击</w:t>
      </w:r>
      <w:r>
        <w:rPr>
          <w:rFonts w:hint="eastAsia"/>
          <w:b/>
          <w:bCs/>
          <w:sz w:val="22"/>
          <w:szCs w:val="28"/>
          <w:lang w:val="en-US" w:eastAsia="zh-CN"/>
        </w:rPr>
        <w:t>上传License</w:t>
      </w:r>
    </w:p>
    <w:p>
      <w:r>
        <w:drawing>
          <wp:inline distT="0" distB="0" distL="114300" distR="114300">
            <wp:extent cx="5259705" cy="1424940"/>
            <wp:effectExtent l="0" t="0" r="7620" b="3810"/>
            <wp:docPr id="1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并在弹出的窗口上传第三章节申请到的License文件。</w:t>
      </w:r>
    </w:p>
    <w:p>
      <w:pPr>
        <w:jc w:val="center"/>
      </w:pPr>
      <w:r>
        <w:drawing>
          <wp:inline distT="0" distB="0" distL="114300" distR="114300">
            <wp:extent cx="3841115" cy="2640330"/>
            <wp:effectExtent l="0" t="0" r="6985" b="7620"/>
            <wp:docPr id="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4111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等待上传成功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760220"/>
            <wp:effectExtent l="0" t="0" r="4445" b="1905"/>
            <wp:docPr id="1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bidi w:val="0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添加基站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当前物联网平台的基站只能够由云端添加，然后同步至本地（后期优化机制）。</w:t>
      </w:r>
    </w:p>
    <w:p>
      <w:pPr>
        <w:pStyle w:val="3"/>
        <w:numPr>
          <w:ilvl w:val="0"/>
          <w:numId w:val="7"/>
        </w:numPr>
        <w:bidi w:val="0"/>
        <w:ind w:left="0" w:leftChars="0" w:firstLine="480" w:firstLineChars="200"/>
        <w:rPr>
          <w:rFonts w:hint="default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登录云端物联网平台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通过浏览器打开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"https://miot.joysuch.com/#/login"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1"/>
          <w:rFonts w:hint="eastAsia"/>
          <w:lang w:val="en-US" w:eastAsia="zh-CN"/>
        </w:rPr>
        <w:t>https://miot.joysuch.com/#/login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链接后，使用第一章节注册好的帐号进行登录。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759200" cy="1887220"/>
            <wp:effectExtent l="0" t="0" r="3175" b="8255"/>
            <wp:docPr id="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7"/>
        </w:numPr>
        <w:bidi w:val="0"/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绑定应用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通过</w:t>
      </w:r>
      <w:r>
        <w:rPr>
          <w:rFonts w:hint="eastAsia"/>
          <w:b/>
          <w:bCs/>
          <w:sz w:val="22"/>
          <w:szCs w:val="28"/>
          <w:lang w:val="en-US" w:eastAsia="zh-CN"/>
        </w:rPr>
        <w:t>地图管理——建筑管理——编辑</w:t>
      </w:r>
      <w:r>
        <w:rPr>
          <w:rFonts w:hint="eastAsia"/>
          <w:lang w:val="en-US" w:eastAsia="zh-CN"/>
        </w:rPr>
        <w:t>，在编辑建筑页面绑定所属应用为：“预测性维护监测软件”</w:t>
      </w:r>
    </w:p>
    <w:p>
      <w:pPr>
        <w:jc w:val="center"/>
      </w:pPr>
      <w:r>
        <w:drawing>
          <wp:inline distT="0" distB="0" distL="114300" distR="114300">
            <wp:extent cx="4403090" cy="2472690"/>
            <wp:effectExtent l="0" t="0" r="6985" b="381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0309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  <w:rPr>
          <w:rFonts w:hint="default"/>
          <w:lang w:val="en-US" w:eastAsia="zh-CN"/>
        </w:rPr>
      </w:pPr>
    </w:p>
    <w:p>
      <w:pPr>
        <w:pStyle w:val="3"/>
        <w:numPr>
          <w:ilvl w:val="0"/>
          <w:numId w:val="7"/>
        </w:numPr>
        <w:bidi w:val="0"/>
        <w:ind w:left="0" w:leftChars="0" w:firstLine="480" w:firstLineChars="200"/>
        <w:rPr>
          <w:rFonts w:hint="default"/>
          <w:sz w:val="18"/>
          <w:szCs w:val="21"/>
          <w:lang w:val="en-US" w:eastAsia="zh-CN"/>
        </w:rPr>
      </w:pPr>
      <w:r>
        <w:rPr>
          <w:rFonts w:hint="eastAsia"/>
          <w:lang w:val="en-US" w:eastAsia="zh-CN"/>
        </w:rPr>
        <w:t>把钛准基站添加到</w:t>
      </w:r>
      <w:r>
        <w:rPr>
          <w:rFonts w:hint="eastAsia"/>
          <w:b/>
          <w:bCs/>
          <w:lang w:val="en-US" w:eastAsia="zh-CN"/>
        </w:rPr>
        <w:t>产品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登录后，通过</w:t>
      </w:r>
      <w:r>
        <w:rPr>
          <w:rFonts w:hint="eastAsia"/>
          <w:b/>
          <w:bCs/>
          <w:sz w:val="22"/>
          <w:szCs w:val="28"/>
          <w:lang w:val="en-US" w:eastAsia="zh-CN"/>
        </w:rPr>
        <w:t>设备管理——产品——新增产品</w:t>
      </w:r>
      <w:r>
        <w:rPr>
          <w:rFonts w:hint="eastAsia"/>
          <w:lang w:val="en-US" w:eastAsia="zh-CN"/>
        </w:rPr>
        <w:t>进入到添加产品的页面</w:t>
      </w:r>
    </w:p>
    <w:p>
      <w:r>
        <w:drawing>
          <wp:inline distT="0" distB="0" distL="114300" distR="114300">
            <wp:extent cx="5252720" cy="1268095"/>
            <wp:effectExtent l="0" t="0" r="5080" b="8255"/>
            <wp:docPr id="1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</w:t>
      </w:r>
      <w:r>
        <w:rPr>
          <w:rFonts w:hint="eastAsia"/>
          <w:b/>
          <w:bCs/>
          <w:i/>
          <w:iCs/>
          <w:sz w:val="22"/>
          <w:szCs w:val="28"/>
          <w:lang w:val="en-US" w:eastAsia="zh-CN"/>
        </w:rPr>
        <w:t>从标准产品库中选取</w:t>
      </w:r>
    </w:p>
    <w:p>
      <w:r>
        <w:drawing>
          <wp:inline distT="0" distB="0" distL="114300" distR="114300">
            <wp:extent cx="5267325" cy="2678430"/>
            <wp:effectExtent l="0" t="0" r="0" b="7620"/>
            <wp:docPr id="1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在</w:t>
      </w:r>
      <w:r>
        <w:rPr>
          <w:rFonts w:hint="eastAsia"/>
          <w:b/>
          <w:bCs/>
          <w:sz w:val="22"/>
          <w:szCs w:val="28"/>
          <w:lang w:val="en-US" w:eastAsia="zh-CN"/>
        </w:rPr>
        <w:t>标准产品库</w:t>
      </w:r>
      <w:r>
        <w:rPr>
          <w:rFonts w:hint="eastAsia"/>
          <w:lang w:val="en-US" w:eastAsia="zh-CN"/>
        </w:rPr>
        <w:t>中选择</w:t>
      </w:r>
      <w:r>
        <w:rPr>
          <w:rFonts w:hint="eastAsia"/>
          <w:b/>
          <w:bCs/>
          <w:i/>
          <w:iCs/>
          <w:lang w:val="en-US" w:eastAsia="zh-CN"/>
        </w:rPr>
        <w:t>网关</w:t>
      </w:r>
      <w:r>
        <w:rPr>
          <w:rFonts w:hint="eastAsia"/>
          <w:lang w:val="en-US" w:eastAsia="zh-CN"/>
        </w:rPr>
        <w:t>，然后勾选</w:t>
      </w:r>
      <w:r>
        <w:rPr>
          <w:rFonts w:hint="eastAsia"/>
          <w:b/>
          <w:bCs/>
          <w:lang w:val="en-US" w:eastAsia="zh-CN"/>
        </w:rPr>
        <w:t>BLG 钛准基站</w:t>
      </w:r>
      <w:r>
        <w:rPr>
          <w:rFonts w:hint="eastAsia"/>
          <w:lang w:val="en-US" w:eastAsia="zh-CN"/>
        </w:rPr>
        <w:t>，并选中</w:t>
      </w:r>
      <w:r>
        <w:rPr>
          <w:rFonts w:hint="eastAsia"/>
          <w:b/>
          <w:bCs/>
          <w:lang w:val="en-US" w:eastAsia="zh-CN"/>
        </w:rPr>
        <w:t>标准产品</w:t>
      </w:r>
    </w:p>
    <w:p>
      <w:r>
        <w:drawing>
          <wp:inline distT="0" distB="0" distL="114300" distR="114300">
            <wp:extent cx="5272405" cy="1844040"/>
            <wp:effectExtent l="0" t="0" r="4445" b="3810"/>
            <wp:docPr id="1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7"/>
        </w:numPr>
        <w:bidi w:val="0"/>
        <w:ind w:left="0" w:leftChars="0" w:firstLine="480" w:firstLineChars="200"/>
        <w:rPr>
          <w:rFonts w:hint="default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添加钛准基站</w:t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</w:t>
      </w:r>
      <w:r>
        <w:rPr>
          <w:rFonts w:hint="eastAsia"/>
          <w:b/>
          <w:bCs/>
          <w:sz w:val="22"/>
          <w:szCs w:val="28"/>
          <w:lang w:val="en-US" w:eastAsia="zh-CN"/>
        </w:rPr>
        <w:t>设备管理——设备——网关设备</w:t>
      </w:r>
      <w:r>
        <w:rPr>
          <w:rFonts w:hint="eastAsia"/>
          <w:lang w:val="en-US" w:eastAsia="zh-CN"/>
        </w:rPr>
        <w:t>进入到添加设备的页面，选择正确的建筑</w:t>
      </w:r>
    </w:p>
    <w:p>
      <w:r>
        <w:drawing>
          <wp:inline distT="0" distB="0" distL="114300" distR="114300">
            <wp:extent cx="5272405" cy="2054225"/>
            <wp:effectExtent l="0" t="0" r="4445" b="3175"/>
            <wp:docPr id="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sz w:val="22"/>
          <w:szCs w:val="28"/>
          <w:lang w:val="en-US" w:eastAsia="zh-CN"/>
        </w:rPr>
        <w:t>新增设备</w:t>
      </w:r>
    </w:p>
    <w:p>
      <w:r>
        <w:drawing>
          <wp:inline distT="0" distB="0" distL="114300" distR="114300">
            <wp:extent cx="5252720" cy="1285240"/>
            <wp:effectExtent l="0" t="0" r="5080" b="635"/>
            <wp:docPr id="2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填写所属产品、SN号等信息，务必勾选</w:t>
      </w:r>
      <w:r>
        <w:rPr>
          <w:rFonts w:hint="eastAsia"/>
          <w:b/>
          <w:bCs/>
          <w:lang w:val="en-US" w:eastAsia="zh-CN"/>
        </w:rPr>
        <w:t>所属应用，</w:t>
      </w:r>
      <w:r>
        <w:rPr>
          <w:rFonts w:hint="eastAsia"/>
          <w:b w:val="0"/>
          <w:bCs w:val="0"/>
          <w:lang w:val="en-US" w:eastAsia="zh-CN"/>
        </w:rPr>
        <w:t>提交</w:t>
      </w:r>
    </w:p>
    <w:p>
      <w:r>
        <w:drawing>
          <wp:inline distT="0" distB="0" distL="114300" distR="114300">
            <wp:extent cx="5272405" cy="2950210"/>
            <wp:effectExtent l="0" t="0" r="4445" b="2540"/>
            <wp:docPr id="2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/>
          <w:bCs/>
          <w:color w:val="FF0000"/>
          <w:sz w:val="15"/>
          <w:szCs w:val="18"/>
          <w:lang w:val="en-US" w:eastAsia="zh-CN"/>
        </w:rPr>
      </w:pPr>
      <w:r>
        <w:rPr>
          <w:rFonts w:hint="eastAsia"/>
          <w:b/>
          <w:bCs/>
          <w:color w:val="FF0000"/>
          <w:sz w:val="15"/>
          <w:szCs w:val="18"/>
          <w:lang w:val="en-US" w:eastAsia="zh-CN"/>
        </w:rPr>
        <w:t>备注，如果没办法勾选所属应用，则取建筑管理中绑定应用</w:t>
      </w:r>
    </w:p>
    <w:p>
      <w:r>
        <w:drawing>
          <wp:inline distT="0" distB="0" distL="114300" distR="114300">
            <wp:extent cx="2521585" cy="1416050"/>
            <wp:effectExtent l="0" t="0" r="2540" b="3175"/>
            <wp:docPr id="2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7"/>
        </w:numPr>
        <w:bidi w:val="0"/>
        <w:ind w:left="0" w:leftChars="0" w:firstLine="480" w:firstLineChars="200"/>
        <w:rPr>
          <w:rFonts w:hint="default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下载建筑文件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在云端物联网平台——</w:t>
      </w:r>
      <w:r>
        <w:rPr>
          <w:rFonts w:hint="eastAsia" w:ascii="Arial" w:hAnsi="Arial"/>
          <w:b/>
          <w:bCs/>
          <w:sz w:val="22"/>
          <w:szCs w:val="28"/>
          <w:lang w:val="en-US" w:eastAsia="zh-CN"/>
        </w:rPr>
        <w:t>地图管理——建筑管理</w:t>
      </w:r>
      <w:r>
        <w:rPr>
          <w:rFonts w:hint="eastAsia" w:ascii="Arial" w:hAnsi="Arial"/>
          <w:b w:val="0"/>
          <w:lang w:val="en-US" w:eastAsia="zh-CN"/>
        </w:rPr>
        <w:t>处，勾选建筑，点击</w:t>
      </w:r>
      <w:r>
        <w:rPr>
          <w:rFonts w:hint="eastAsia" w:ascii="Arial" w:hAnsi="Arial"/>
          <w:b/>
          <w:bCs/>
          <w:sz w:val="22"/>
          <w:szCs w:val="28"/>
          <w:lang w:val="en-US" w:eastAsia="zh-CN"/>
        </w:rPr>
        <w:t>下载建筑文件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52720" cy="2957830"/>
            <wp:effectExtent l="0" t="0" r="5080" b="4445"/>
            <wp:docPr id="2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7"/>
        </w:numPr>
        <w:bidi w:val="0"/>
        <w:ind w:left="0" w:leftChars="0" w:firstLine="480" w:firstLineChars="200"/>
        <w:rPr>
          <w:rFonts w:hint="eastAsia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登录本地物联网平台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通过本地服务器地址:8007端口访问本地物联网平台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drawing>
          <wp:inline distT="0" distB="0" distL="114300" distR="114300">
            <wp:extent cx="5252720" cy="3103880"/>
            <wp:effectExtent l="0" t="0" r="5080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7"/>
        </w:numPr>
        <w:bidi w:val="0"/>
        <w:ind w:left="0" w:leftChars="0" w:firstLine="480" w:firstLineChars="200"/>
        <w:rPr>
          <w:rFonts w:hint="eastAsia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上传建筑文件至本地</w:t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在本地物联网平台——</w:t>
      </w:r>
      <w:r>
        <w:rPr>
          <w:rFonts w:hint="eastAsia"/>
          <w:b/>
          <w:bCs/>
          <w:sz w:val="22"/>
          <w:szCs w:val="28"/>
          <w:lang w:val="en-US" w:eastAsia="zh-CN"/>
        </w:rPr>
        <w:t>地图管理——建筑管理——上传建筑文件——选择导入文件</w:t>
      </w:r>
      <w:r>
        <w:rPr>
          <w:rFonts w:hint="eastAsia"/>
          <w:lang w:val="en-US" w:eastAsia="zh-CN"/>
        </w:rPr>
        <w:t>，将从云端物联网平台（</w:t>
      </w:r>
      <w:r>
        <w:rPr>
          <w:rStyle w:val="11"/>
          <w:rFonts w:hint="eastAsia"/>
          <w:lang w:val="en-US" w:eastAsia="zh-CN"/>
        </w:rPr>
        <w:t>https://miot.joysuch.com</w:t>
      </w:r>
      <w:r>
        <w:rPr>
          <w:rFonts w:hint="eastAsia"/>
          <w:lang w:val="en-US" w:eastAsia="zh-CN"/>
        </w:rPr>
        <w:t>）下载的建筑文件信息上传至本地</w:t>
      </w:r>
    </w:p>
    <w:p>
      <w:r>
        <w:drawing>
          <wp:inline distT="0" distB="0" distL="114300" distR="114300">
            <wp:extent cx="5252720" cy="2933065"/>
            <wp:effectExtent l="0" t="0" r="5080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7"/>
        </w:numPr>
        <w:bidi w:val="0"/>
        <w:ind w:left="0" w:leftChars="0" w:firstLine="480" w:firstLineChars="200"/>
        <w:rPr>
          <w:rFonts w:hint="eastAsia" w:ascii="Arial" w:hAnsi="Arial"/>
          <w:b w:val="0"/>
          <w:lang w:val="en-US" w:eastAsia="zh-CN"/>
        </w:rPr>
      </w:pPr>
      <w:r>
        <w:rPr>
          <w:rFonts w:hint="eastAsia" w:ascii="Arial" w:hAnsi="Arial"/>
          <w:b w:val="0"/>
          <w:lang w:val="en-US" w:eastAsia="zh-CN"/>
        </w:rPr>
        <w:t>钛准基站广播上线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</w:t>
      </w:r>
      <w:r>
        <w:rPr>
          <w:rFonts w:hint="eastAsia"/>
          <w:b/>
          <w:bCs/>
          <w:sz w:val="22"/>
          <w:szCs w:val="28"/>
          <w:lang w:val="en-US" w:eastAsia="zh-CN"/>
        </w:rPr>
        <w:t>本地物联网平台——系统设置——设备广播</w:t>
      </w:r>
      <w:r>
        <w:rPr>
          <w:rFonts w:hint="eastAsia"/>
          <w:lang w:val="en-US" w:eastAsia="zh-CN"/>
        </w:rPr>
        <w:t>，选择广播方式（例如已知基站广播），填写基站IP与服务器IP，选择正确的端口号（在选项中选择mqtt或TCP即可），广播内容中的端口号会自动填哪些（勾选mqtt协议会自动在下方填写48082端口），提交。</w:t>
      </w:r>
    </w:p>
    <w:p>
      <w:r>
        <w:drawing>
          <wp:inline distT="0" distB="0" distL="114300" distR="114300">
            <wp:extent cx="5267960" cy="2950210"/>
            <wp:effectExtent l="0" t="0" r="889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完成广播后，基站即可在本地物联网平台上线。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200"/>
        <w:textAlignment w:val="auto"/>
        <w:rPr>
          <w:rFonts w:hint="default"/>
          <w:b/>
          <w:bCs/>
          <w:color w:val="FF0000"/>
          <w:sz w:val="15"/>
          <w:szCs w:val="18"/>
          <w:lang w:val="en-US" w:eastAsia="zh-CN"/>
        </w:rPr>
      </w:pPr>
      <w:r>
        <w:rPr>
          <w:rFonts w:hint="eastAsia"/>
          <w:b/>
          <w:bCs/>
          <w:color w:val="FF0000"/>
          <w:sz w:val="15"/>
          <w:szCs w:val="18"/>
          <w:lang w:val="en-US" w:eastAsia="zh-CN"/>
        </w:rPr>
        <w:t>PS：即使是物联网平台服务器，与基站通信的端口仍是48082，并没有改动。如果是4G版本基站，上线方式与钛准一致，通信端口仍是48082.</w:t>
      </w:r>
    </w:p>
    <w:p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  <w:b/>
          <w:sz w:val="22"/>
          <w:szCs w:val="15"/>
          <w:lang w:val="en-US" w:eastAsia="zh-CN"/>
        </w:rPr>
      </w:pPr>
      <w:r>
        <w:rPr>
          <w:rFonts w:hint="eastAsia"/>
          <w:b/>
          <w:sz w:val="22"/>
          <w:szCs w:val="15"/>
          <w:lang w:val="en-US" w:eastAsia="zh-CN"/>
        </w:rPr>
        <w:t>上传License授权</w:t>
      </w:r>
      <w:bookmarkEnd w:id="3"/>
      <w:r>
        <w:rPr>
          <w:rFonts w:hint="eastAsia"/>
          <w:b/>
          <w:sz w:val="22"/>
          <w:szCs w:val="15"/>
          <w:lang w:val="en-US" w:eastAsia="zh-CN"/>
        </w:rPr>
        <w:t>至本地</w:t>
      </w:r>
    </w:p>
    <w:p>
      <w:pPr>
        <w:ind w:firstLine="420" w:firstLineChars="200"/>
      </w:pPr>
      <w:r>
        <w:rPr>
          <w:rFonts w:hint="eastAsia"/>
        </w:rPr>
        <w:t>登录</w:t>
      </w:r>
      <w:r>
        <w:rPr>
          <w:rFonts w:hint="eastAsia"/>
          <w:lang w:val="en-US" w:eastAsia="zh-CN"/>
        </w:rPr>
        <w:t>本地</w:t>
      </w:r>
      <w:r>
        <w:rPr>
          <w:rFonts w:hint="eastAsia"/>
        </w:rPr>
        <w:t>设备状态监测与故障诊断系统</w:t>
      </w:r>
      <w:r>
        <w:rPr>
          <w:rFonts w:hint="eastAsia"/>
          <w:sz w:val="16"/>
          <w:szCs w:val="16"/>
        </w:rPr>
        <w:t>（本地地址IP:8119登录账号密码默认为client/client123，若开放平台默认密码有变，则按照开放平台新密码为准）</w:t>
      </w:r>
      <w:r>
        <w:rPr>
          <w:rFonts w:hint="eastAsia"/>
        </w:rPr>
        <w:t>，将licence文件上传至系统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预测性维护项目本地与云端的License文件是通用的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>
      <w:r>
        <w:drawing>
          <wp:inline distT="0" distB="0" distL="114300" distR="114300">
            <wp:extent cx="5276215" cy="955675"/>
            <wp:effectExtent l="0" t="0" r="635" b="6350"/>
            <wp:docPr id="17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2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/>
          <w:b/>
          <w:sz w:val="22"/>
          <w:szCs w:val="15"/>
          <w:lang w:val="en-US" w:eastAsia="zh-CN"/>
        </w:rPr>
      </w:pPr>
      <w:r>
        <w:rPr>
          <w:rFonts w:hint="eastAsia"/>
          <w:b/>
          <w:sz w:val="22"/>
          <w:szCs w:val="15"/>
          <w:lang w:val="en-US" w:eastAsia="zh-CN"/>
        </w:rPr>
        <w:t>完成预测性维护平台的相关配置</w:t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预测性维护平台的操作配置与正常项目相同，具体操作方法可参考软件产品的操作手册或交付手册。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hint="eastAsia"/>
      </w:rPr>
      <w:drawing>
        <wp:inline distT="0" distB="0" distL="114300" distR="114300">
          <wp:extent cx="5274310" cy="243840"/>
          <wp:effectExtent l="0" t="0" r="2540" b="3810"/>
          <wp:docPr id="944001676" name="图片 944001676" descr="竖版用_页眉_14.6厘米x0.67厘米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001676" name="图片 944001676" descr="竖版用_页眉_14.6厘米x0.67厘米_300dpi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24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5E9B8B"/>
    <w:multiLevelType w:val="singleLevel"/>
    <w:tmpl w:val="855E9B8B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CEFD6CB3"/>
    <w:multiLevelType w:val="singleLevel"/>
    <w:tmpl w:val="CEFD6CB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2D47C7A0"/>
    <w:multiLevelType w:val="singleLevel"/>
    <w:tmpl w:val="2D47C7A0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3D83AAF2"/>
    <w:multiLevelType w:val="singleLevel"/>
    <w:tmpl w:val="3D83AA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3D2D6A6"/>
    <w:multiLevelType w:val="singleLevel"/>
    <w:tmpl w:val="43D2D6A6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5">
    <w:nsid w:val="4D737092"/>
    <w:multiLevelType w:val="singleLevel"/>
    <w:tmpl w:val="4D73709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>
    <w:nsid w:val="77387154"/>
    <w:multiLevelType w:val="multilevel"/>
    <w:tmpl w:val="77387154"/>
    <w:lvl w:ilvl="0" w:tentative="0">
      <w:start w:val="1"/>
      <w:numFmt w:val="chineseCountingThousand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37BA3"/>
    <w:rsid w:val="5EB21EA0"/>
    <w:rsid w:val="FFEE8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60" w:beforeLines="0" w:beforeAutospacing="0" w:after="60" w:afterLines="0" w:afterAutospacing="0" w:line="576" w:lineRule="auto"/>
      <w:outlineLvl w:val="0"/>
    </w:pPr>
    <w:rPr>
      <w:rFonts w:asciiTheme="minorAscii" w:hAnsiTheme="minorAscii"/>
      <w:b/>
      <w:kern w:val="44"/>
      <w:sz w:val="28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40" w:beforeLines="0" w:beforeAutospacing="0" w:after="40" w:afterLines="0" w:afterAutospacing="0" w:line="413" w:lineRule="auto"/>
      <w:outlineLvl w:val="1"/>
    </w:pPr>
    <w:rPr>
      <w:rFonts w:ascii="Arial" w:hAnsi="Arial" w:eastAsia="微软雅黑"/>
      <w:sz w:val="24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numPr>
        <w:ilvl w:val="2"/>
        <w:numId w:val="1"/>
      </w:numPr>
      <w:spacing w:before="260" w:after="260"/>
      <w:ind w:left="0" w:hanging="236" w:hangingChars="236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16"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FollowedHyperlink"/>
    <w:basedOn w:val="9"/>
    <w:uiPriority w:val="0"/>
    <w:rPr>
      <w:color w:val="800080"/>
      <w:u w:val="single"/>
    </w:rPr>
  </w:style>
  <w:style w:type="character" w:styleId="11">
    <w:name w:val="Hyperlink"/>
    <w:basedOn w:val="9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</w:style>
  <w:style w:type="character" w:customStyle="1" w:styleId="13">
    <w:name w:val="_Style 7"/>
    <w:basedOn w:val="9"/>
    <w:uiPriority w:val="0"/>
    <w:rPr>
      <w:rFonts w:hint="eastAsia" w:ascii="微软雅黑" w:hAnsi="微软雅黑" w:eastAsia="微软雅黑" w:cs="微软雅黑"/>
      <w:iCs/>
      <w:color w:val="auto"/>
      <w:sz w:val="21"/>
    </w:rPr>
  </w:style>
  <w:style w:type="character" w:customStyle="1" w:styleId="14">
    <w:name w:val="标题 3 字符"/>
    <w:basedOn w:val="9"/>
    <w:link w:val="4"/>
    <w:uiPriority w:val="0"/>
    <w:rPr>
      <w:rFonts w:hint="eastAsia" w:ascii="微软雅黑" w:hAnsi="微软雅黑" w:eastAsia="微软雅黑" w:cs="微软雅黑"/>
      <w:b/>
      <w:bCs/>
      <w:kern w:val="2"/>
      <w:sz w:val="24"/>
      <w:szCs w:val="24"/>
    </w:rPr>
  </w:style>
  <w:style w:type="character" w:customStyle="1" w:styleId="15">
    <w:name w:val="标题 1 字符"/>
    <w:basedOn w:val="9"/>
    <w:link w:val="2"/>
    <w:uiPriority w:val="0"/>
    <w:rPr>
      <w:rFonts w:hint="eastAsia" w:cs="微软雅黑" w:asciiTheme="minorAscii" w:hAnsiTheme="minorAscii" w:eastAsiaTheme="minorEastAsia"/>
      <w:b/>
      <w:bCs/>
      <w:kern w:val="44"/>
      <w:sz w:val="28"/>
      <w:szCs w:val="28"/>
    </w:rPr>
  </w:style>
  <w:style w:type="character" w:customStyle="1" w:styleId="16">
    <w:name w:val="标题 4 字符"/>
    <w:basedOn w:val="9"/>
    <w:link w:val="5"/>
    <w:uiPriority w:val="0"/>
    <w:rPr>
      <w:rFonts w:hint="eastAsia" w:ascii="微软雅黑" w:hAnsi="微软雅黑" w:eastAsia="微软雅黑" w:cs="Times New Roman"/>
      <w:bCs/>
      <w:kern w:val="2"/>
      <w:sz w:val="24"/>
      <w:szCs w:val="24"/>
    </w:rPr>
  </w:style>
  <w:style w:type="character" w:customStyle="1" w:styleId="17">
    <w:name w:val="标题 2 字符"/>
    <w:basedOn w:val="9"/>
    <w:link w:val="3"/>
    <w:uiPriority w:val="0"/>
    <w:rPr>
      <w:rFonts w:hint="eastAsia" w:ascii="Arial" w:hAnsi="Arial" w:eastAsia="微软雅黑" w:cs="Times New Roman"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theme" Target="theme/theme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emf"/><Relationship Id="rId22" Type="http://schemas.openxmlformats.org/officeDocument/2006/relationships/oleObject" Target="embeddings/oleObject2.bin"/><Relationship Id="rId21" Type="http://schemas.openxmlformats.org/officeDocument/2006/relationships/image" Target="media/image17.emf"/><Relationship Id="rId20" Type="http://schemas.openxmlformats.org/officeDocument/2006/relationships/oleObject" Target="embeddings/oleObject1.bin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0</Words>
  <Characters>0</Characters>
  <Lines>0</Lines>
  <Paragraphs>0</Paragraphs>
  <TotalTime>127</TotalTime>
  <ScaleCrop>false</ScaleCrop>
  <LinksUpToDate>false</LinksUpToDate>
  <CharactersWithSpaces>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2025-07-04T15:43:00Z</dcterms:created>
  <dc:creator>11942</dc:creator>
  <cp:lastModifiedBy>润晗</cp:lastModifiedBy>
  <dcterms:modified xsi:type="dcterms:W3CDTF">2025-10-21T22:35:38Z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TemplateDocerSaveRecord">
    <vt:lpwstr>eyJoZGlkIjoiMzEwNTM5NzYwMDRjMzkwZTVkZjY2ODkwMGIxNGU0OTUiLCJ1c2VySWQiOiI4NzA3MjQwNjIifQ==</vt:lpwstr>
  </property>
  <property fmtid="{D5CDD505-2E9C-101B-9397-08002B2CF9AE}" pid="4" name="ICV">
    <vt:lpwstr>9BB9A8A34158411EB4E32D0B28C86354_13</vt:lpwstr>
  </property>
</Properties>
</file>